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2"/>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bookmarkStart w:id="0" w:name="_Toc332974258"/>
            <w:bookmarkStart w:id="1" w:name="_Toc337542146"/>
            <w:bookmarkStart w:id="2" w:name="OLE_LINK1"/>
            <w:bookmarkStart w:id="3" w:name="BookMark2"/>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91.100.01"/>
                  </w:textInput>
                </w:ffData>
              </w:fldChar>
            </w:r>
            <w:r>
              <w:rPr>
                <w:rFonts w:ascii="黑体" w:hAnsi="黑体" w:eastAsia="黑体"/>
                <w:sz w:val="21"/>
                <w:szCs w:val="21"/>
              </w:rPr>
              <w:instrText xml:space="preserve"> </w:instrText>
            </w:r>
            <w:bookmarkStart w:id="4" w:name="ICS"/>
            <w:r>
              <w:rPr>
                <w:rFonts w:ascii="黑体" w:hAnsi="黑体" w:eastAsia="黑体"/>
                <w:sz w:val="21"/>
                <w:szCs w:val="21"/>
              </w:rPr>
              <w:instrText xml:space="preserve">FORMTEXT </w:instrText>
            </w:r>
            <w:r>
              <w:rPr>
                <w:rFonts w:ascii="黑体" w:hAnsi="黑体" w:eastAsia="黑体"/>
                <w:sz w:val="21"/>
                <w:szCs w:val="21"/>
              </w:rPr>
              <w:fldChar w:fldCharType="separate"/>
            </w:r>
            <w:r>
              <w:rPr>
                <w:rFonts w:ascii="黑体" w:hAnsi="黑体" w:eastAsia="黑体"/>
                <w:sz w:val="21"/>
                <w:szCs w:val="21"/>
              </w:rPr>
              <w:t>91.100.01</w:t>
            </w:r>
            <w:r>
              <w:rPr>
                <w:rFonts w:ascii="黑体" w:hAnsi="黑体" w:eastAsia="黑体"/>
                <w:sz w:val="21"/>
                <w:szCs w:val="21"/>
              </w:rPr>
              <w:fldChar w:fldCharType="end"/>
            </w:r>
            <w:bookmarkEnd w:id="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32"/>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1021" w:hRule="exact"/>
              </w:trPr>
              <w:tc>
                <w:tcPr>
                  <w:tcW w:w="9242" w:type="dxa"/>
                  <w:vAlign w:val="center"/>
                </w:tcPr>
                <w:p>
                  <w:pPr>
                    <w:pStyle w:val="55"/>
                    <w:framePr w:wrap="notBeside" w:vAnchor="page" w:hAnchor="page" w:x="1372" w:y="568"/>
                    <w:ind w:left="420" w:right="624"/>
                    <w:rPr>
                      <w:rFonts w:ascii="宋体" w:hAnsi="宋体"/>
                      <w:sz w:val="28"/>
                      <w:szCs w:val="28"/>
                    </w:rPr>
                  </w:pPr>
                </w:p>
              </w:tc>
            </w:tr>
          </w:tbl>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Q10"/>
                  </w:textInput>
                </w:ffData>
              </w:fldChar>
            </w:r>
            <w:r>
              <w:rPr>
                <w:rFonts w:ascii="黑体" w:hAnsi="黑体" w:eastAsia="黑体"/>
                <w:sz w:val="21"/>
                <w:szCs w:val="21"/>
              </w:rPr>
              <w:instrText xml:space="preserve"> </w:instrText>
            </w:r>
            <w:bookmarkStart w:id="5" w:name="CSDN"/>
            <w:r>
              <w:rPr>
                <w:rFonts w:ascii="黑体" w:hAnsi="黑体" w:eastAsia="黑体"/>
                <w:sz w:val="21"/>
                <w:szCs w:val="21"/>
              </w:rPr>
              <w:instrText xml:space="preserve">FORMTEXT </w:instrText>
            </w:r>
            <w:r>
              <w:rPr>
                <w:rFonts w:ascii="黑体" w:hAnsi="黑体" w:eastAsia="黑体"/>
                <w:sz w:val="21"/>
                <w:szCs w:val="21"/>
              </w:rPr>
              <w:fldChar w:fldCharType="separate"/>
            </w:r>
            <w:r>
              <w:rPr>
                <w:rFonts w:ascii="黑体" w:hAnsi="黑体" w:eastAsia="黑体"/>
                <w:sz w:val="21"/>
                <w:szCs w:val="21"/>
              </w:rPr>
              <w:t>Q10</w:t>
            </w:r>
            <w:r>
              <w:rPr>
                <w:rFonts w:ascii="黑体" w:hAnsi="黑体" w:eastAsia="黑体"/>
                <w:sz w:val="21"/>
                <w:szCs w:val="21"/>
              </w:rPr>
              <w:fldChar w:fldCharType="end"/>
            </w:r>
            <w:bookmarkEnd w:id="5"/>
          </w:p>
        </w:tc>
      </w:tr>
    </w:tbl>
    <w:p>
      <w:pPr>
        <w:pStyle w:val="56"/>
        <w:framePr w:w="9639" w:h="624" w:hRule="exact" w:hSpace="181" w:vSpace="181" w:wrap="around" w:hAnchor="page" w:x="1305" w:y="2269"/>
        <w:rPr>
          <w:rFonts w:ascii="黑体" w:hAnsi="黑体" w:eastAsia="黑体"/>
          <w:b w:val="0"/>
          <w:bCs w:val="0"/>
          <w:w w:val="100"/>
          <w:sz w:val="48"/>
          <w:szCs w:val="48"/>
        </w:rPr>
      </w:pPr>
      <w:bookmarkStart w:id="6" w:name="_Hlk26473981"/>
      <w:r>
        <w:rPr>
          <w:rFonts w:hint="eastAsia" w:ascii="黑体" w:eastAsia="黑体"/>
          <w:b w:val="0"/>
          <w:w w:val="100"/>
          <w:sz w:val="48"/>
        </w:rPr>
        <w:t>团体</w:t>
      </w:r>
      <w:r>
        <w:rPr>
          <w:rFonts w:hint="eastAsia" w:ascii="黑体" w:hAnsi="黑体" w:eastAsia="黑体"/>
          <w:b w:val="0"/>
          <w:bCs w:val="0"/>
          <w:w w:val="100"/>
          <w:sz w:val="48"/>
          <w:szCs w:val="48"/>
        </w:rPr>
        <w:t>标准</w:t>
      </w:r>
    </w:p>
    <w:bookmarkEnd w:id="6"/>
    <w:p>
      <w:pPr>
        <w:pStyle w:val="201"/>
        <w:rPr>
          <w:rFonts w:hint="default" w:eastAsia="黑体"/>
          <w:lang w:val="en-US" w:eastAsia="zh-CN"/>
        </w:rPr>
      </w:pPr>
      <w:r>
        <w:t>T/</w:t>
      </w:r>
      <w:r>
        <w:fldChar w:fldCharType="begin">
          <w:ffData>
            <w:name w:val="文字1"/>
            <w:enabled/>
            <w:calcOnExit w:val="0"/>
            <w:textInput>
              <w:default w:val="XXX"/>
            </w:textInput>
          </w:ffData>
        </w:fldChar>
      </w:r>
      <w:bookmarkStart w:id="7" w:name="文字1"/>
      <w:r>
        <w:instrText xml:space="preserve"> FORMTEXT </w:instrText>
      </w:r>
      <w:r>
        <w:fldChar w:fldCharType="separate"/>
      </w:r>
      <w:r>
        <w:rPr>
          <w:rFonts w:hint="eastAsia"/>
        </w:rPr>
        <w:t>CECS</w:t>
      </w:r>
      <w:r>
        <w:fldChar w:fldCharType="end"/>
      </w:r>
      <w:bookmarkEnd w:id="7"/>
      <w:r>
        <w:t xml:space="preserve"> </w:t>
      </w:r>
      <w:r>
        <w:rPr>
          <w:rFonts w:hint="eastAsia"/>
          <w:lang w:val="en-US" w:eastAsia="zh-CN"/>
        </w:rPr>
        <w:t>XXXX</w:t>
      </w:r>
      <w:r>
        <w:rPr>
          <w:rFonts w:hAnsi="黑体"/>
        </w:rPr>
        <w:t>—</w:t>
      </w:r>
      <w:r>
        <w:rPr>
          <w:rFonts w:hint="eastAsia"/>
          <w:lang w:val="en-US" w:eastAsia="zh-CN"/>
        </w:rPr>
        <w:t>202X</w:t>
      </w:r>
    </w:p>
    <w:p>
      <w:pPr>
        <w:pStyle w:val="202"/>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6"/>
        <w:framePr w:w="9639" w:h="6976" w:hRule="exact" w:hSpace="0" w:vSpace="0" w:wrap="around" w:hAnchor="page" w:y="6408"/>
        <w:jc w:val="center"/>
        <w:rPr>
          <w:rFonts w:ascii="黑体" w:hAnsi="黑体" w:eastAsia="黑体"/>
          <w:b w:val="0"/>
          <w:bCs w:val="0"/>
          <w:w w:val="100"/>
        </w:rPr>
      </w:pPr>
    </w:p>
    <w:p>
      <w:pPr>
        <w:pStyle w:val="203"/>
        <w:framePr w:h="6974" w:hRule="exact" w:wrap="around" w:x="1419" w:anchorLock="1"/>
      </w:pPr>
      <w:r>
        <w:fldChar w:fldCharType="begin">
          <w:ffData>
            <w:name w:val="CSTD_NAME"/>
            <w:enabled/>
            <w:calcOnExit w:val="0"/>
            <w:textInput>
              <w:default w:val="建筑材料设备分类分级评价通则"/>
            </w:textInput>
          </w:ffData>
        </w:fldChar>
      </w:r>
      <w:r>
        <w:instrText xml:space="preserve"> </w:instrText>
      </w:r>
      <w:bookmarkStart w:id="9" w:name="CSTD_NAME"/>
      <w:r>
        <w:instrText xml:space="preserve">FORMTEXT </w:instrText>
      </w:r>
      <w:r>
        <w:fldChar w:fldCharType="separate"/>
      </w:r>
      <w:r>
        <w:rPr>
          <w:rFonts w:hint="eastAsia"/>
          <w:lang w:val="en-US" w:eastAsia="zh-CN"/>
        </w:rPr>
        <w:t>港口工程重点产品碳足迹核算</w:t>
      </w:r>
      <w:r>
        <w:t>通则</w:t>
      </w:r>
      <w:r>
        <w:fldChar w:fldCharType="end"/>
      </w:r>
      <w:bookmarkEnd w:id="9"/>
    </w:p>
    <w:p>
      <w:pPr>
        <w:framePr w:w="9639" w:h="6974" w:hRule="exact" w:wrap="around" w:vAnchor="page" w:hAnchor="page" w:x="1419" w:y="6408" w:anchorLock="1"/>
        <w:ind w:left="-1418"/>
      </w:pPr>
    </w:p>
    <w:p>
      <w:pPr>
        <w:pStyle w:val="13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General rules for classification and grading evaluation of building materials and equipment"/>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 xml:space="preserve">General </w:t>
      </w:r>
      <w:r>
        <w:rPr>
          <w:rFonts w:hint="eastAsia" w:eastAsia="黑体"/>
          <w:szCs w:val="28"/>
        </w:rPr>
        <w:t>Principles for Carbon Footprint Accounting of Key Products in Port Engineering</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31"/>
        <w:framePr w:w="9639" w:h="6974" w:hRule="exact" w:wrap="around" w:vAnchor="page" w:hAnchor="page" w:x="1419" w:y="6408" w:anchorLock="1"/>
        <w:textAlignment w:val="bottom"/>
        <w:rPr>
          <w:rFonts w:eastAsia="黑体"/>
          <w:szCs w:val="28"/>
        </w:rPr>
      </w:pPr>
    </w:p>
    <w:p>
      <w:pPr>
        <w:pStyle w:val="131"/>
        <w:framePr w:w="9639" w:h="6974" w:hRule="exact" w:wrap="around" w:vAnchor="page" w:hAnchor="page" w:x="1419" w:y="6408" w:anchorLock="1"/>
        <w:spacing w:before="440" w:after="160"/>
        <w:textAlignment w:val="bottom"/>
        <w:rPr>
          <w:sz w:val="24"/>
          <w:szCs w:val="28"/>
        </w:rPr>
      </w:pPr>
    </w:p>
    <w:p>
      <w:pPr>
        <w:pStyle w:val="13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1"/>
    </w:p>
    <w:p>
      <w:pPr>
        <w:pStyle w:val="131"/>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r>
        <w:rPr>
          <w:b/>
          <w:sz w:val="21"/>
          <w:szCs w:val="28"/>
        </w:rPr>
        <w:instrText xml:space="preserve"> </w:instrText>
      </w:r>
      <w:bookmarkStart w:id="12" w:name="下拉2"/>
      <w:r>
        <w:rPr>
          <w:b/>
          <w:sz w:val="21"/>
          <w:szCs w:val="28"/>
        </w:rPr>
        <w:instrText xml:space="preserve">FORMDROPDOWN </w:instrText>
      </w:r>
      <w:r>
        <w:rPr>
          <w:b/>
          <w:sz w:val="21"/>
          <w:szCs w:val="28"/>
        </w:rPr>
        <w:fldChar w:fldCharType="separate"/>
      </w:r>
      <w:r>
        <w:rPr>
          <w:b/>
          <w:sz w:val="21"/>
          <w:szCs w:val="28"/>
        </w:rPr>
        <w:fldChar w:fldCharType="end"/>
      </w:r>
      <w:bookmarkEnd w:id="12"/>
    </w:p>
    <w:p>
      <w:pPr>
        <w:pStyle w:val="199"/>
        <w:framePr w:wrap="around" w:y="14176"/>
      </w:pPr>
      <w:r>
        <w:rPr>
          <w:rFonts w:hint="eastAsia"/>
          <w:lang w:val="en-US" w:eastAsia="zh-CN"/>
        </w:rPr>
        <w:t>202X</w:t>
      </w:r>
      <w:r>
        <w:t xml:space="preserve"> </w:t>
      </w:r>
      <w:r>
        <w:rPr>
          <w:rFonts w:ascii="黑体"/>
        </w:rPr>
        <w:t>-</w:t>
      </w:r>
      <w:r>
        <w:t xml:space="preserve"> </w:t>
      </w:r>
      <w:r>
        <w:rPr>
          <w:rFonts w:hint="eastAsia"/>
          <w:lang w:val="en-US" w:eastAsia="zh-CN"/>
        </w:rPr>
        <w:t>XX</w:t>
      </w:r>
      <w:r>
        <w:t xml:space="preserve"> </w:t>
      </w:r>
      <w:r>
        <w:rPr>
          <w:rFonts w:ascii="黑体"/>
        </w:rPr>
        <w:t>-</w:t>
      </w:r>
      <w:r>
        <w:t xml:space="preserve"> </w:t>
      </w:r>
      <w:r>
        <w:rPr>
          <w:rFonts w:hint="eastAsia"/>
          <w:lang w:val="en-US" w:eastAsia="zh-CN"/>
        </w:rPr>
        <w:t>XX</w:t>
      </w:r>
      <w:r>
        <w:rPr>
          <w:rFonts w:hint="eastAsia"/>
        </w:rPr>
        <w:t>发布</w:t>
      </w:r>
    </w:p>
    <w:p>
      <w:pPr>
        <w:pStyle w:val="200"/>
        <w:framePr w:wrap="around" w:y="14176"/>
      </w:pPr>
      <w:r>
        <w:rPr>
          <w:rFonts w:ascii="黑体"/>
        </w:rPr>
        <w:fldChar w:fldCharType="begin">
          <w:ffData>
            <w:name w:val="CROT_DATE_Y"/>
            <w:enabled/>
            <w:calcOnExit w:val="0"/>
            <w:textInput>
              <w:default w:val="XXXX"/>
              <w:maxLength w:val="4"/>
            </w:textInput>
          </w:ffData>
        </w:fldChar>
      </w:r>
      <w:bookmarkStart w:id="13" w:name="CROT_DATE_Y"/>
      <w:r>
        <w:rPr>
          <w:rFonts w:ascii="黑体"/>
        </w:rPr>
        <w:instrText xml:space="preserve"> FORMTEXT </w:instrText>
      </w:r>
      <w:r>
        <w:rPr>
          <w:rFonts w:ascii="黑体"/>
        </w:rPr>
        <w:fldChar w:fldCharType="separate"/>
      </w:r>
      <w:r>
        <w:rPr>
          <w:rFonts w:ascii="黑体"/>
        </w:rPr>
        <w:t>20</w:t>
      </w:r>
      <w:r>
        <w:rPr>
          <w:rFonts w:hint="eastAsia" w:ascii="黑体"/>
          <w:lang w:val="en-US" w:eastAsia="zh-CN"/>
        </w:rPr>
        <w:t>XX</w:t>
      </w:r>
      <w:r>
        <w:rPr>
          <w:rFonts w:ascii="黑体"/>
        </w:rPr>
        <w:fldChar w:fldCharType="end"/>
      </w:r>
      <w:bookmarkEnd w:id="13"/>
      <w:r>
        <w:t xml:space="preserve"> </w:t>
      </w:r>
      <w:r>
        <w:rPr>
          <w:rFonts w:ascii="黑体"/>
        </w:rPr>
        <w:t>-</w:t>
      </w:r>
      <w:r>
        <w:t xml:space="preserve"> </w:t>
      </w:r>
      <w:r>
        <w:rPr>
          <w:rFonts w:hint="eastAsia" w:ascii="黑体"/>
          <w:lang w:val="en-US" w:eastAsia="zh-CN"/>
        </w:rPr>
        <w:t>04</w:t>
      </w:r>
      <w:r>
        <w:t xml:space="preserve"> </w:t>
      </w:r>
      <w:r>
        <w:rPr>
          <w:rFonts w:ascii="黑体"/>
        </w:rPr>
        <w:t>-</w:t>
      </w:r>
      <w:r>
        <w:t xml:space="preserve"> </w:t>
      </w:r>
      <w:r>
        <w:rPr>
          <w:rFonts w:hint="eastAsia" w:ascii="黑体"/>
          <w:lang w:val="en-US" w:eastAsia="zh-CN"/>
        </w:rPr>
        <w:t>01</w:t>
      </w:r>
      <w:r>
        <w:rPr>
          <w:rFonts w:hint="eastAsia"/>
        </w:rPr>
        <w:t>实施</w:t>
      </w:r>
    </w:p>
    <w:p>
      <w:pPr>
        <w:pStyle w:val="157"/>
        <w:framePr w:h="584" w:hRule="exact" w:hSpace="181" w:vSpace="181" w:wrap="around" w:vAnchor="page" w:hAnchor="page" w:x="2408" w:y="15060"/>
        <w:rPr>
          <w:rFonts w:hAnsi="黑体"/>
        </w:rPr>
      </w:pPr>
      <w:r>
        <w:rPr>
          <w:rFonts w:hAnsi="黑体"/>
          <w:w w:val="100"/>
          <w:sz w:val="28"/>
        </w:rPr>
        <w:fldChar w:fldCharType="begin">
          <w:ffData>
            <w:name w:val="fm"/>
            <w:enabled/>
            <w:calcOnExit w:val="0"/>
            <w:textInput/>
          </w:ffData>
        </w:fldChar>
      </w:r>
      <w:bookmarkStart w:id="14"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中国工程建设标准化协会</w:t>
      </w:r>
      <w:r>
        <w:rPr>
          <w:rFonts w:hAnsi="黑体"/>
          <w:w w:val="100"/>
          <w:sz w:val="28"/>
        </w:rPr>
        <w:fldChar w:fldCharType="end"/>
      </w:r>
      <w:bookmarkEnd w:id="14"/>
      <w:r>
        <w:rPr>
          <w:rFonts w:ascii="Times New Roman"/>
          <w:w w:val="100"/>
          <w:sz w:val="28"/>
        </w:rPr>
        <w:t>  </w:t>
      </w:r>
      <w:r>
        <w:rPr>
          <w:rStyle w:val="235"/>
          <w:rFonts w:hint="eastAsia" w:hAnsi="黑体"/>
          <w:position w:val="0"/>
        </w:rPr>
        <w:t>发</w:t>
      </w:r>
      <w:r>
        <w:rPr>
          <w:rStyle w:val="235"/>
          <w:rFonts w:hint="eastAsia" w:hAnsi="黑体"/>
          <w:spacing w:val="0"/>
          <w:position w:val="0"/>
        </w:rPr>
        <w:t>布</w:t>
      </w:r>
    </w:p>
    <w:p>
      <w:pPr>
        <w:widowControl/>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br w:type="page"/>
      </w:r>
      <w:r>
        <w:rPr>
          <w:rFonts w:hint="eastAsia" w:ascii="宋体" w:hAnsi="宋体"/>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9354820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36.6pt;height:0pt;width:481.9pt;mso-position-horizontal-relative:page;mso-position-vertical-relative:page;z-index:251661312;mso-width-relative:page;mso-height-relative:page;" filled="f" stroked="t" coordsize="21600,21600" o:gfxdata="UEsDBAoAAAAAAIdO4kAAAAAAAAAAAAAAAAAEAAAAZHJzL1BLAwQUAAAACACHTuJAU73qitgAAAAO&#10;AQAADwAAAGRycy9kb3ducmV2LnhtbE2PzU7DMBCE70i8g7VIXCpqJ6UUpXF6AHLjQlvEdRsvSdR4&#10;ncbuDzw9zgHBbWd3NPtNvrrYTpxo8K1jDclUgSCunGm51rDdlHePIHxANtg5Jg1f5GFVXF/lmBl3&#10;5jc6rUMtYgj7DDU0IfSZlL5qyKKfup443j7dYDFEOdTSDHiO4baTqVIP0mLL8UODPT01VO3XR6vB&#10;l+90KL8n1UR9zGpH6eH59QW1vr1J1BJEoEv4M8OIH9GhiEw7d2TjRRf1fbKI1nFYzFIQoyVR8zmI&#10;3e9OFrn8X6P4AVBLAwQUAAAACACHTuJAAzUM5uMBAACqAwAADgAAAGRycy9lMm9Eb2MueG1srVPN&#10;jtMwEL4j8Q6W7zRtUVcQNd1Dq+WyQKVdHsB1nMbC9lget0lfghdA4gYnjtx5m10eg7HTlmW57IEc&#10;LHt+vpnvm8n8sreG7VVADa7ik9GYM+Uk1NptK/7h9urFK84wClcLA05V/KCQXy6eP5t3vlRTaMHU&#10;KjACcVh2vuJtjL4sCpStsgJH4JUjZwPBikjPsC3qIDpCt6aYjscXRQeh9gGkQiTranDyI2J4CiA0&#10;jZZqBXJnlYsDalBGRKKErfbIF7nbplEyvm8aVJGZihPTmE8qQvdNOovFXJTbIHyr5bEF8ZQWHnGy&#10;QjsqeoZaiSjYLuh/oKyWARCaOJJgi4FIVoRYTMaPtLlphVeZC0mN/iw6/j9Y+W6/DkzXFZ9x5oSl&#10;gd9//nH36euvn1/ovP/+jc2SSJ3HkmKXbh0STdm7G38N8iMyB8tWuK3Kzd4ePCFMUkbxV0p6oKdS&#10;m+4t1BQjdhGyYn0TbIIkLVifB3M4D0b1kUkyXkxInZc0M3nyFaI8JfqA8Y0Cy9Kl4ka7pJkoxf4a&#10;Y2pElKeQZHZwpY3JczeOdRV/PZvOcgKC0XVypjAM283SBLYXaXPyl1mR52FYgJ2rhyLGHUknnoNi&#10;G6gP63ASg0aYuzmuW9qRh++c/ecXW/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U73qitgAAAAO&#10;AQAADwAAAAAAAAABACAAAAAiAAAAZHJzL2Rvd25yZXYueG1sUEsBAhQAFAAAAAgAh07iQAM1DObj&#10;AQAAqgMAAA4AAAAAAAAAAQAgAAAAJwEAAGRycy9lMm9Eb2MueG1sUEsFBgAAAAAGAAYAWQEAAHwF&#10;AAAAAA==&#10;">
                <v:fill on="f" focussize="0,0"/>
                <v:stroke color="#000000" joinstyle="round"/>
                <v:imagedata o:title=""/>
                <o:lock v:ext="edit" aspectratio="f"/>
                <w10:anchorlock/>
              </v:line>
            </w:pict>
          </mc:Fallback>
        </mc:AlternateContent>
      </w:r>
    </w:p>
    <w:bookmarkEnd w:id="0"/>
    <w:bookmarkEnd w:id="1"/>
    <w:bookmarkEnd w:id="2"/>
    <w:p>
      <w:pPr>
        <w:jc w:val="center"/>
        <w:rPr>
          <w:rFonts w:hint="default" w:ascii="Times New Roman" w:hAnsi="Times New Roman" w:eastAsia="仿宋" w:cs="Times New Roman"/>
          <w:bCs/>
          <w:color w:val="000000" w:themeColor="text1"/>
          <w:sz w:val="32"/>
          <w:szCs w:val="32"/>
          <w:lang w:val="zh-CN"/>
          <w14:textFill>
            <w14:solidFill>
              <w14:schemeClr w14:val="tx1"/>
            </w14:solidFill>
          </w14:textFill>
        </w:rPr>
      </w:pPr>
      <w:r>
        <w:rPr>
          <w:rFonts w:hint="default" w:ascii="Times New Roman" w:hAnsi="Times New Roman" w:eastAsia="黑体" w:cs="Times New Roman"/>
          <w:bCs/>
          <w:color w:val="000000" w:themeColor="text1"/>
          <w:sz w:val="32"/>
          <w:szCs w:val="32"/>
          <w:lang w:val="zh-CN"/>
          <w14:textFill>
            <w14:solidFill>
              <w14:schemeClr w14:val="tx1"/>
            </w14:solidFill>
          </w14:textFill>
        </w:rPr>
        <w:t>目　　次</w:t>
      </w:r>
    </w:p>
    <w:p>
      <w:pPr>
        <w:jc w:val="center"/>
        <w:rPr>
          <w:rStyle w:val="37"/>
          <w:rFonts w:hint="default" w:ascii="Times New Roman" w:hAnsi="Times New Roman" w:cs="Times New Roman"/>
          <w:bCs/>
          <w:iCs/>
          <w:color w:val="000000" w:themeColor="text1"/>
          <w:kern w:val="0"/>
          <w14:textFill>
            <w14:solidFill>
              <w14:schemeClr w14:val="tx1"/>
            </w14:solidFill>
          </w14:textFill>
        </w:rPr>
      </w:pPr>
    </w:p>
    <w:sdt>
      <w:sdtPr>
        <w:rPr>
          <w:rFonts w:hint="default" w:ascii="Times New Roman" w:hAnsi="Times New Roman" w:cs="Times New Roman"/>
          <w:color w:val="0000FF"/>
          <w:u w:val="single"/>
          <w:lang w:val="zh-CN"/>
        </w:rPr>
        <w:id w:val="2091035492"/>
        <w:docPartObj>
          <w:docPartGallery w:val="Table of Contents"/>
          <w:docPartUnique/>
        </w:docPartObj>
      </w:sdtPr>
      <w:sdtEndPr>
        <w:rPr>
          <w:rFonts w:hint="default" w:ascii="Times New Roman" w:hAnsi="Times New Roman" w:cs="Times New Roman"/>
          <w:bCs/>
          <w:color w:val="0000FF"/>
          <w:u w:val="single"/>
          <w:lang w:val="zh-CN"/>
        </w:rPr>
      </w:sdtEndPr>
      <w:sdtContent>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default" w:ascii="Times New Roman" w:hAnsi="Times New Roman" w:eastAsia="宋体" w:cs="Times New Roman"/>
              <w:bCs/>
              <w:kern w:val="2"/>
              <w:sz w:val="21"/>
              <w:szCs w:val="21"/>
              <w:lang w:val="zh-CN" w:eastAsia="zh-CN" w:bidi="ar-SA"/>
            </w:rPr>
          </w:pPr>
          <w:r>
            <w:rPr>
              <w:rFonts w:hint="default" w:ascii="Times New Roman" w:hAnsi="Times New Roman" w:cs="Times New Roman"/>
            </w:rPr>
            <w:fldChar w:fldCharType="begin"/>
          </w:r>
          <w:r>
            <w:rPr>
              <w:rFonts w:hint="default" w:ascii="Times New Roman" w:hAnsi="Times New Roman" w:cs="Times New Roman"/>
            </w:rPr>
            <w:instrText xml:space="preserve"> TOC \o "1-3" \h \z \u </w:instrText>
          </w:r>
          <w:r>
            <w:rPr>
              <w:rFonts w:hint="default" w:ascii="Times New Roman" w:hAnsi="Times New Roman" w:cs="Times New Roman"/>
            </w:rPr>
            <w:fldChar w:fldCharType="separate"/>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_Toc3804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szCs w:val="32"/>
            </w:rPr>
            <w:t>前言</w:t>
          </w:r>
          <w:r>
            <w:rPr>
              <w:rFonts w:hint="default" w:ascii="Times New Roman" w:hAnsi="Times New Roman" w:eastAsia="宋体" w:cs="Times New Roman"/>
            </w:rPr>
            <w:tab/>
          </w:r>
          <w:r>
            <w:rPr>
              <w:rFonts w:hint="default" w:ascii="Times New Roman" w:hAnsi="Times New Roman" w:eastAsia="宋体" w:cs="Times New Roman"/>
              <w:bCs/>
              <w:lang w:val="zh-CN"/>
            </w:rPr>
            <w:fldChar w:fldCharType="end"/>
          </w:r>
          <w:r>
            <w:rPr>
              <w:rFonts w:ascii="Times New Roman" w:hAnsi="Times New Roman"/>
            </w:rPr>
            <w:fldChar w:fldCharType="begin"/>
          </w:r>
          <w:r>
            <w:rPr>
              <w:rFonts w:ascii="Times New Roman" w:hAnsi="Times New Roman"/>
            </w:rPr>
            <w:instrText xml:space="preserve"> PAGEREF _Toc30072 \h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_Toc31451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1 </w:t>
          </w:r>
          <w:r>
            <w:rPr>
              <w:rFonts w:hint="default" w:ascii="Times New Roman" w:hAnsi="Times New Roman" w:eastAsia="宋体" w:cs="Times New Roman"/>
            </w:rPr>
            <w:t>范围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_Toc31451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_Toc6173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2 </w:t>
          </w:r>
          <w:r>
            <w:rPr>
              <w:rFonts w:hint="default" w:ascii="Times New Roman" w:hAnsi="Times New Roman" w:eastAsia="宋体" w:cs="Times New Roman"/>
            </w:rPr>
            <w:t>规范性引用文件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_Toc6173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_Toc2220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3 </w:t>
          </w:r>
          <w:r>
            <w:rPr>
              <w:rFonts w:hint="default" w:ascii="Times New Roman" w:hAnsi="Times New Roman" w:eastAsia="宋体" w:cs="Times New Roman"/>
            </w:rPr>
            <w:t>术语和定义</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_Toc2220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_Toc22946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4 </w:t>
          </w:r>
          <w:r>
            <w:rPr>
              <w:rFonts w:hint="default" w:ascii="Times New Roman" w:hAnsi="Times New Roman" w:eastAsia="宋体" w:cs="Times New Roman"/>
            </w:rPr>
            <w:t>量化目的</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_Toc22946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_Toc19657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5 </w:t>
          </w:r>
          <w:r>
            <w:rPr>
              <w:rFonts w:hint="default" w:ascii="Times New Roman" w:hAnsi="Times New Roman" w:eastAsia="宋体" w:cs="Times New Roman"/>
            </w:rPr>
            <w:t>量化范围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_Toc19657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_Toc4676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val="0"/>
              <w:i w:val="0"/>
              <w:iCs w:val="0"/>
              <w:caps w:val="0"/>
              <w:smallCaps w:val="0"/>
              <w:strike w:val="0"/>
              <w:dstrike w:val="0"/>
              <w:vanish w:val="0"/>
              <w:spacing w:val="0"/>
              <w:kern w:val="0"/>
              <w:position w:val="0"/>
              <w:vertAlign w:val="baseline"/>
            </w:rPr>
            <w:t xml:space="preserve">5.1 </w:t>
          </w:r>
          <w:r>
            <w:rPr>
              <w:rFonts w:hint="default" w:ascii="Times New Roman" w:hAnsi="Times New Roman" w:eastAsia="宋体" w:cs="Times New Roman"/>
            </w:rPr>
            <w:t>一般要求</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_Toc4676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_Toc13488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val="0"/>
              <w:i w:val="0"/>
              <w:iCs w:val="0"/>
              <w:caps w:val="0"/>
              <w:smallCaps w:val="0"/>
              <w:strike w:val="0"/>
              <w:dstrike w:val="0"/>
              <w:vanish w:val="0"/>
              <w:spacing w:val="0"/>
              <w:kern w:val="0"/>
              <w:position w:val="0"/>
              <w:vertAlign w:val="baseline"/>
            </w:rPr>
            <w:t xml:space="preserve">5.2 </w:t>
          </w:r>
          <w:r>
            <w:rPr>
              <w:rFonts w:hint="default" w:ascii="Times New Roman" w:hAnsi="Times New Roman" w:eastAsia="宋体" w:cs="Times New Roman"/>
            </w:rPr>
            <w:t>功能单位</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_Toc13488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_Toc17854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val="0"/>
              <w:i w:val="0"/>
              <w:iCs w:val="0"/>
              <w:caps w:val="0"/>
              <w:smallCaps w:val="0"/>
              <w:strike w:val="0"/>
              <w:dstrike w:val="0"/>
              <w:vanish w:val="0"/>
              <w:spacing w:val="0"/>
              <w:kern w:val="0"/>
              <w:position w:val="0"/>
              <w:vertAlign w:val="baseline"/>
            </w:rPr>
            <w:t xml:space="preserve">5.3 </w:t>
          </w:r>
          <w:r>
            <w:rPr>
              <w:rFonts w:hint="default" w:ascii="Times New Roman" w:hAnsi="Times New Roman" w:eastAsia="宋体" w:cs="Times New Roman"/>
            </w:rPr>
            <w:t>系统边界</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_Toc17854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_Toc29892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val="0"/>
              <w:i w:val="0"/>
              <w:iCs w:val="0"/>
              <w:caps w:val="0"/>
              <w:smallCaps w:val="0"/>
              <w:strike w:val="0"/>
              <w:dstrike w:val="0"/>
              <w:vanish w:val="0"/>
              <w:spacing w:val="0"/>
              <w:kern w:val="0"/>
              <w:position w:val="0"/>
              <w:vertAlign w:val="baseline"/>
            </w:rPr>
            <w:t xml:space="preserve">5.4 </w:t>
          </w:r>
          <w:r>
            <w:rPr>
              <w:rFonts w:hint="default" w:ascii="Times New Roman" w:hAnsi="Times New Roman" w:eastAsia="宋体" w:cs="Times New Roman"/>
            </w:rPr>
            <w:t>取舍准则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_Toc29892 \h </w:instrText>
          </w:r>
          <w:r>
            <w:rPr>
              <w:rFonts w:hint="default" w:ascii="Times New Roman" w:hAnsi="Times New Roman" w:eastAsia="宋体" w:cs="Times New Roman"/>
            </w:rPr>
            <w:fldChar w:fldCharType="separate"/>
          </w:r>
          <w:r>
            <w:rPr>
              <w:rFonts w:hint="default" w:ascii="Times New Roman" w:hAnsi="Times New Roman" w:eastAsia="宋体" w:cs="Times New Roman"/>
            </w:rPr>
            <w:t>6</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_Toc20349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6 </w:t>
          </w:r>
          <w:r>
            <w:rPr>
              <w:rFonts w:hint="default" w:ascii="Times New Roman" w:hAnsi="Times New Roman" w:eastAsia="宋体" w:cs="Times New Roman"/>
            </w:rPr>
            <w:t>生命周期清单分析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_Toc20349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bCs/>
              <w:lang w:val="zh-C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_Toc28196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6.1 一般要求</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_Toc28196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bCs/>
              <w:lang w:val="zh-C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_Toc5163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6.2 数据收集</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_Toc5163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bCs/>
              <w:lang w:val="zh-C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_Toc8459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6.3 数据审定</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_Toc8459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_Toc14531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6.4 数据分配</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_Toc14531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8</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_Toc18469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7 </w:t>
          </w:r>
          <w:r>
            <w:rPr>
              <w:rFonts w:hint="default" w:ascii="Times New Roman" w:hAnsi="Times New Roman" w:eastAsia="宋体" w:cs="Times New Roman"/>
            </w:rPr>
            <w:t>产品碳足迹影响评价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_Toc18469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bCs/>
              <w:lang w:val="zh-C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_Toc9295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7.1 产品碳足迹计算方法</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_Toc9295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8</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bCs/>
              <w:lang w:val="zh-C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_Toc1809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7.2 原材料获取阶段</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_Toc1809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8</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bCs/>
              <w:lang w:val="zh-C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_Toc30330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7.3 生产制造阶段</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_Toc30330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8</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bCs/>
              <w:lang w:val="zh-C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_Toc10469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7.4 施工阶段</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_Toc10469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9</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5"/>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auto"/>
            <w:ind w:left="210"/>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_Toc30882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7.5 生命末期阶段</w:t>
          </w:r>
          <w:r>
            <w:rPr>
              <w:rFonts w:hint="default" w:ascii="Times New Roman" w:hAnsi="Times New Roman" w:eastAsia="宋体" w:cs="Times New Roman"/>
              <w:bCs/>
              <w:lang w:val="zh-CN"/>
            </w:rPr>
            <w:tab/>
          </w: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PAGEREF _Toc30882 \h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lang w:val="zh-CN"/>
            </w:rPr>
            <w:t>9</w:t>
          </w:r>
          <w:r>
            <w:rPr>
              <w:rFonts w:hint="default" w:ascii="Times New Roman" w:hAnsi="Times New Roman" w:eastAsia="宋体" w:cs="Times New Roman"/>
              <w:bCs/>
              <w:lang w:val="zh-C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_Toc22942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8 </w:t>
          </w:r>
          <w:r>
            <w:rPr>
              <w:rFonts w:hint="default" w:ascii="Times New Roman" w:hAnsi="Times New Roman" w:eastAsia="宋体" w:cs="Times New Roman"/>
            </w:rPr>
            <w:t>产品碳足迹结果解释</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_Toc22942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_Toc17550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 w:val="0"/>
            </w:rPr>
            <w:t xml:space="preserve">9 </w:t>
          </w:r>
          <w:r>
            <w:rPr>
              <w:rFonts w:hint="default" w:ascii="Times New Roman" w:hAnsi="Times New Roman" w:eastAsia="宋体" w:cs="Times New Roman"/>
            </w:rPr>
            <w:t>产品碳足迹核算报告</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_Toc17550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_Toc32288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kern w:val="44"/>
            </w:rPr>
            <w:t xml:space="preserve">附录A </w:t>
          </w:r>
          <w:r>
            <w:rPr>
              <w:rFonts w:hint="eastAsia" w:ascii="Times New Roman" w:hAnsi="Times New Roman" w:cs="Times New Roman"/>
              <w:bCs/>
              <w:kern w:val="44"/>
              <w:lang w:eastAsia="zh-CN"/>
            </w:rPr>
            <w:t>（</w:t>
          </w:r>
          <w:r>
            <w:rPr>
              <w:rFonts w:hint="eastAsia" w:ascii="Times New Roman" w:hAnsi="Times New Roman" w:cs="Times New Roman"/>
              <w:bCs/>
              <w:kern w:val="44"/>
              <w:lang w:val="en-US" w:eastAsia="zh-CN"/>
            </w:rPr>
            <w:t>资料性</w:t>
          </w:r>
          <w:r>
            <w:rPr>
              <w:rFonts w:hint="eastAsia" w:ascii="Times New Roman" w:hAnsi="Times New Roman" w:cs="Times New Roman"/>
              <w:bCs/>
              <w:kern w:val="44"/>
              <w:lang w:eastAsia="zh-CN"/>
            </w:rPr>
            <w:t>）</w:t>
          </w:r>
          <w:r>
            <w:rPr>
              <w:rFonts w:hint="default" w:ascii="Times New Roman" w:hAnsi="Times New Roman" w:eastAsia="宋体" w:cs="Times New Roman"/>
              <w:bCs/>
              <w:kern w:val="44"/>
              <w:lang w:val="en-US" w:eastAsia="zh-CN"/>
            </w:rPr>
            <w:t>港口水工建筑物预制混凝土构件碳排放数据收集清单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_Toc32288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_Toc4122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kern w:val="44"/>
            </w:rPr>
            <w:t>附录</w:t>
          </w:r>
          <w:r>
            <w:rPr>
              <w:rFonts w:hint="default" w:ascii="Times New Roman" w:hAnsi="Times New Roman" w:eastAsia="宋体" w:cs="Times New Roman"/>
              <w:bCs/>
              <w:kern w:val="44"/>
              <w:lang w:val="en-US" w:eastAsia="zh-CN"/>
            </w:rPr>
            <w:t>B</w:t>
          </w:r>
          <w:r>
            <w:rPr>
              <w:rFonts w:hint="default" w:ascii="Times New Roman" w:hAnsi="Times New Roman" w:eastAsia="宋体" w:cs="Times New Roman"/>
              <w:bCs/>
              <w:kern w:val="44"/>
            </w:rPr>
            <w:t xml:space="preserve"> </w:t>
          </w:r>
          <w:r>
            <w:rPr>
              <w:rFonts w:hint="eastAsia" w:ascii="Times New Roman" w:hAnsi="Times New Roman" w:cs="Times New Roman"/>
              <w:bCs/>
              <w:kern w:val="44"/>
              <w:lang w:eastAsia="zh-CN"/>
            </w:rPr>
            <w:t>（</w:t>
          </w:r>
          <w:r>
            <w:rPr>
              <w:rFonts w:hint="eastAsia" w:ascii="Times New Roman" w:hAnsi="Times New Roman" w:cs="Times New Roman"/>
              <w:bCs/>
              <w:kern w:val="44"/>
              <w:lang w:val="en-US" w:eastAsia="zh-CN"/>
            </w:rPr>
            <w:t>资料性</w:t>
          </w:r>
          <w:r>
            <w:rPr>
              <w:rFonts w:hint="eastAsia" w:ascii="Times New Roman" w:hAnsi="Times New Roman" w:cs="Times New Roman"/>
              <w:bCs/>
              <w:kern w:val="44"/>
              <w:lang w:eastAsia="zh-CN"/>
            </w:rPr>
            <w:t>）</w:t>
          </w:r>
          <w:r>
            <w:rPr>
              <w:rFonts w:hint="default" w:ascii="Times New Roman" w:hAnsi="Times New Roman" w:eastAsia="宋体" w:cs="Times New Roman"/>
              <w:bCs/>
              <w:kern w:val="44"/>
            </w:rPr>
            <w:t>温室气体的全球变暖潜值（GWP）</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_Toc4122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_Toc28857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kern w:val="44"/>
            </w:rPr>
            <w:t>附录</w:t>
          </w:r>
          <w:r>
            <w:rPr>
              <w:rFonts w:hint="default" w:ascii="Times New Roman" w:hAnsi="Times New Roman" w:eastAsia="宋体" w:cs="Times New Roman"/>
              <w:bCs/>
              <w:kern w:val="44"/>
              <w:lang w:val="en-US" w:eastAsia="zh-CN"/>
            </w:rPr>
            <w:t>C</w:t>
          </w:r>
          <w:r>
            <w:rPr>
              <w:rFonts w:hint="default" w:ascii="Times New Roman" w:hAnsi="Times New Roman" w:eastAsia="宋体" w:cs="Times New Roman"/>
              <w:bCs/>
              <w:kern w:val="44"/>
            </w:rPr>
            <w:t xml:space="preserve"> </w:t>
          </w:r>
          <w:r>
            <w:rPr>
              <w:rFonts w:hint="eastAsia" w:ascii="Times New Roman" w:hAnsi="Times New Roman" w:cs="Times New Roman"/>
              <w:bCs/>
              <w:kern w:val="44"/>
              <w:lang w:eastAsia="zh-CN"/>
            </w:rPr>
            <w:t>（</w:t>
          </w:r>
          <w:r>
            <w:rPr>
              <w:rFonts w:hint="eastAsia" w:ascii="Times New Roman" w:hAnsi="Times New Roman" w:cs="Times New Roman"/>
              <w:bCs/>
              <w:kern w:val="44"/>
              <w:lang w:val="en-US" w:eastAsia="zh-CN"/>
            </w:rPr>
            <w:t>资料性</w:t>
          </w:r>
          <w:r>
            <w:rPr>
              <w:rFonts w:hint="eastAsia" w:ascii="Times New Roman" w:hAnsi="Times New Roman" w:cs="Times New Roman"/>
              <w:bCs/>
              <w:kern w:val="44"/>
              <w:lang w:eastAsia="zh-CN"/>
            </w:rPr>
            <w:t>）</w:t>
          </w:r>
          <w:r>
            <w:rPr>
              <w:rFonts w:hint="default" w:ascii="Times New Roman" w:hAnsi="Times New Roman" w:eastAsia="宋体" w:cs="Times New Roman"/>
              <w:bCs/>
              <w:kern w:val="44"/>
            </w:rPr>
            <w:t>主要化石燃料</w:t>
          </w:r>
          <w:r>
            <w:rPr>
              <w:rFonts w:hint="default" w:ascii="Times New Roman" w:hAnsi="Times New Roman" w:eastAsia="宋体" w:cs="Times New Roman"/>
              <w:bCs/>
              <w:kern w:val="44"/>
              <w:lang w:val="en-US" w:eastAsia="zh-CN"/>
            </w:rPr>
            <w:t>相关参数缺省值</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_Toc28857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_Toc7315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kern w:val="44"/>
              <w:lang w:val="en-US" w:eastAsia="zh-CN"/>
            </w:rPr>
            <w:t xml:space="preserve">附录D </w:t>
          </w:r>
          <w:r>
            <w:rPr>
              <w:rFonts w:hint="eastAsia" w:ascii="Times New Roman" w:hAnsi="Times New Roman" w:cs="Times New Roman"/>
              <w:bCs/>
              <w:kern w:val="44"/>
              <w:lang w:eastAsia="zh-CN"/>
            </w:rPr>
            <w:t>（</w:t>
          </w:r>
          <w:r>
            <w:rPr>
              <w:rFonts w:hint="eastAsia" w:ascii="Times New Roman" w:hAnsi="Times New Roman" w:cs="Times New Roman"/>
              <w:bCs/>
              <w:kern w:val="44"/>
              <w:lang w:val="en-US" w:eastAsia="zh-CN"/>
            </w:rPr>
            <w:t>资料性</w:t>
          </w:r>
          <w:r>
            <w:rPr>
              <w:rFonts w:hint="eastAsia" w:ascii="Times New Roman" w:hAnsi="Times New Roman" w:cs="Times New Roman"/>
              <w:bCs/>
              <w:kern w:val="44"/>
              <w:lang w:eastAsia="zh-CN"/>
            </w:rPr>
            <w:t>）</w:t>
          </w:r>
          <w:r>
            <w:rPr>
              <w:rFonts w:hint="default" w:ascii="Times New Roman" w:hAnsi="Times New Roman" w:eastAsia="宋体" w:cs="Times New Roman"/>
              <w:bCs/>
              <w:kern w:val="44"/>
            </w:rPr>
            <w:t>全国</w:t>
          </w:r>
          <w:r>
            <w:rPr>
              <w:rFonts w:hint="default" w:ascii="Times New Roman" w:hAnsi="Times New Roman" w:eastAsia="宋体" w:cs="Times New Roman"/>
              <w:bCs/>
              <w:kern w:val="44"/>
              <w:lang w:val="en-US" w:eastAsia="zh-CN"/>
            </w:rPr>
            <w:t>电力和热力</w:t>
          </w:r>
          <w:r>
            <w:rPr>
              <w:rFonts w:hint="default" w:ascii="Times New Roman" w:hAnsi="Times New Roman" w:eastAsia="宋体" w:cs="Times New Roman"/>
              <w:bCs/>
              <w:kern w:val="44"/>
            </w:rPr>
            <w:t>平均</w:t>
          </w:r>
          <w:r>
            <w:rPr>
              <w:rFonts w:hint="default" w:ascii="Times New Roman" w:hAnsi="Times New Roman" w:eastAsia="宋体" w:cs="Times New Roman"/>
              <w:bCs/>
              <w:kern w:val="44"/>
              <w:lang w:val="en-US" w:eastAsia="zh-CN"/>
            </w:rPr>
            <w:t>碳足迹因子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_Toc7315 \h </w:instrText>
          </w:r>
          <w:r>
            <w:rPr>
              <w:rFonts w:hint="default" w:ascii="Times New Roman" w:hAnsi="Times New Roman" w:eastAsia="宋体" w:cs="Times New Roman"/>
            </w:rPr>
            <w:fldChar w:fldCharType="separate"/>
          </w:r>
          <w:r>
            <w:rPr>
              <w:rFonts w:hint="default" w:ascii="Times New Roman" w:hAnsi="Times New Roman" w:eastAsia="宋体" w:cs="Times New Roman"/>
            </w:rPr>
            <w:t>14</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_Toc9928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kern w:val="44"/>
              <w:lang w:val="en-US" w:eastAsia="zh-CN"/>
            </w:rPr>
            <w:t xml:space="preserve">附录E </w:t>
          </w:r>
          <w:r>
            <w:rPr>
              <w:rFonts w:hint="eastAsia" w:ascii="Times New Roman" w:hAnsi="Times New Roman" w:cs="Times New Roman"/>
              <w:bCs/>
              <w:kern w:val="44"/>
              <w:lang w:eastAsia="zh-CN"/>
            </w:rPr>
            <w:t>（</w:t>
          </w:r>
          <w:r>
            <w:rPr>
              <w:rFonts w:hint="eastAsia" w:ascii="Times New Roman" w:hAnsi="Times New Roman" w:cs="Times New Roman"/>
              <w:bCs/>
              <w:kern w:val="44"/>
              <w:lang w:val="en-US" w:eastAsia="zh-CN"/>
            </w:rPr>
            <w:t>资料性</w:t>
          </w:r>
          <w:r>
            <w:rPr>
              <w:rFonts w:hint="eastAsia" w:ascii="Times New Roman" w:hAnsi="Times New Roman" w:cs="Times New Roman"/>
              <w:bCs/>
              <w:kern w:val="44"/>
              <w:lang w:eastAsia="zh-CN"/>
            </w:rPr>
            <w:t>）</w:t>
          </w:r>
          <w:r>
            <w:rPr>
              <w:rFonts w:hint="default" w:ascii="Times New Roman" w:hAnsi="Times New Roman" w:cs="Times New Roman"/>
              <w:bCs/>
              <w:kern w:val="44"/>
              <w:lang w:val="en-US" w:eastAsia="zh-CN"/>
            </w:rPr>
            <w:t>部分建筑材料碳排放因子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_Toc9928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14</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pStyle w:val="20"/>
            <w:keepNext w:val="0"/>
            <w:keepLines w:val="0"/>
            <w:pageBreakBefore w:val="0"/>
            <w:widowControl w:val="0"/>
            <w:tabs>
              <w:tab w:val="right" w:leader="dot" w:pos="8788"/>
              <w:tab w:val="clear" w:pos="9344"/>
            </w:tabs>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rPr>
          </w:pPr>
          <w:r>
            <w:rPr>
              <w:rFonts w:hint="default" w:ascii="Times New Roman" w:hAnsi="Times New Roman" w:eastAsia="宋体" w:cs="Times New Roman"/>
              <w:bCs/>
              <w:lang w:val="zh-CN"/>
            </w:rPr>
            <w:fldChar w:fldCharType="begin"/>
          </w:r>
          <w:r>
            <w:rPr>
              <w:rFonts w:hint="default" w:ascii="Times New Roman" w:hAnsi="Times New Roman" w:eastAsia="宋体" w:cs="Times New Roman"/>
              <w:bCs/>
              <w:lang w:val="zh-CN"/>
            </w:rPr>
            <w:instrText xml:space="preserve"> HYPERLINK \l _Toc4788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Cs/>
              <w:kern w:val="44"/>
              <w:lang w:val="en-US" w:eastAsia="zh-CN"/>
            </w:rPr>
            <w:t xml:space="preserve">附录F </w:t>
          </w:r>
          <w:r>
            <w:rPr>
              <w:rFonts w:hint="eastAsia" w:ascii="Times New Roman" w:hAnsi="Times New Roman" w:cs="Times New Roman"/>
              <w:bCs/>
              <w:kern w:val="44"/>
              <w:lang w:eastAsia="zh-CN"/>
            </w:rPr>
            <w:t>（</w:t>
          </w:r>
          <w:r>
            <w:rPr>
              <w:rFonts w:hint="eastAsia" w:ascii="Times New Roman" w:hAnsi="Times New Roman" w:cs="Times New Roman"/>
              <w:bCs/>
              <w:kern w:val="44"/>
              <w:lang w:val="en-US" w:eastAsia="zh-CN"/>
            </w:rPr>
            <w:t>资料性</w:t>
          </w:r>
          <w:r>
            <w:rPr>
              <w:rFonts w:hint="eastAsia" w:ascii="Times New Roman" w:hAnsi="Times New Roman" w:cs="Times New Roman"/>
              <w:bCs/>
              <w:kern w:val="44"/>
              <w:lang w:eastAsia="zh-CN"/>
            </w:rPr>
            <w:t>）</w:t>
          </w:r>
          <w:r>
            <w:rPr>
              <w:rFonts w:hint="default" w:ascii="Times New Roman" w:hAnsi="Times New Roman" w:eastAsia="宋体" w:cs="Times New Roman"/>
              <w:bCs/>
              <w:kern w:val="44"/>
              <w:lang w:val="en-US" w:eastAsia="zh-CN"/>
            </w:rPr>
            <w:t>产品碳足迹报告模板</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_Toc4788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w:t>
          </w:r>
          <w:r>
            <w:rPr>
              <w:rFonts w:hint="default" w:ascii="Times New Roman" w:hAnsi="Times New Roman" w:eastAsia="宋体" w:cs="Times New Roman"/>
            </w:rPr>
            <w:fldChar w:fldCharType="end"/>
          </w:r>
          <w:r>
            <w:rPr>
              <w:rFonts w:hint="default" w:ascii="Times New Roman" w:hAnsi="Times New Roman" w:eastAsia="宋体" w:cs="Times New Roman"/>
              <w:bCs/>
              <w:lang w:val="zh-CN"/>
            </w:rPr>
            <w:fldChar w:fldCharType="end"/>
          </w:r>
        </w:p>
        <w:p>
          <w:pPr>
            <w:spacing w:line="360" w:lineRule="auto"/>
            <w:rPr>
              <w:rFonts w:hint="default" w:ascii="Times New Roman" w:hAnsi="Times New Roman" w:cs="Times New Roman"/>
              <w:color w:val="000000" w:themeColor="text1"/>
              <w14:textFill>
                <w14:solidFill>
                  <w14:schemeClr w14:val="tx1"/>
                </w14:solidFill>
              </w14:textFill>
            </w:rPr>
            <w:sectPr>
              <w:footerReference r:id="rId5" w:type="default"/>
              <w:pgSz w:w="11907" w:h="16840"/>
              <w:pgMar w:top="1440" w:right="1559" w:bottom="1440" w:left="1560" w:header="851" w:footer="992" w:gutter="0"/>
              <w:pgNumType w:start="1"/>
              <w:cols w:space="720" w:num="1"/>
              <w:docGrid w:type="lines" w:linePitch="312" w:charSpace="0"/>
            </w:sectPr>
          </w:pPr>
          <w:r>
            <w:rPr>
              <w:rFonts w:hint="default" w:ascii="Times New Roman" w:hAnsi="Times New Roman" w:cs="Times New Roman"/>
              <w:bCs/>
              <w:lang w:val="zh-CN"/>
            </w:rPr>
            <w:fldChar w:fldCharType="end"/>
          </w:r>
        </w:p>
      </w:sdtContent>
    </w:sdt>
    <w:bookmarkEnd w:id="3"/>
    <w:p>
      <w:pPr>
        <w:spacing w:line="20" w:lineRule="exact"/>
        <w:jc w:val="center"/>
        <w:rPr>
          <w:rFonts w:hint="default" w:ascii="Times New Roman" w:hAnsi="Times New Roman" w:eastAsia="黑体" w:cs="Times New Roman"/>
          <w:sz w:val="32"/>
          <w:szCs w:val="32"/>
        </w:rPr>
      </w:pPr>
      <w:bookmarkStart w:id="15" w:name="BookMark4"/>
    </w:p>
    <w:p>
      <w:pPr>
        <w:keepNext w:val="0"/>
        <w:keepLines w:val="0"/>
        <w:pageBreakBefore w:val="0"/>
        <w:widowControl w:val="0"/>
        <w:kinsoku/>
        <w:wordWrap/>
        <w:overflowPunct/>
        <w:topLinePunct w:val="0"/>
        <w:autoSpaceDE/>
        <w:autoSpaceDN/>
        <w:bidi w:val="0"/>
        <w:adjustRightInd/>
        <w:snapToGrid/>
        <w:spacing w:before="900" w:after="0" w:afterLines="150" w:line="240" w:lineRule="auto"/>
        <w:jc w:val="center"/>
        <w:textAlignment w:val="auto"/>
        <w:outlineLvl w:val="0"/>
        <w:rPr>
          <w:rFonts w:hint="default" w:ascii="Times New Roman" w:hAnsi="Times New Roman" w:eastAsia="黑体" w:cs="Times New Roman"/>
          <w:b/>
          <w:bCs/>
          <w:color w:val="000000" w:themeColor="text1"/>
          <w:sz w:val="32"/>
          <w:szCs w:val="32"/>
          <w14:textFill>
            <w14:solidFill>
              <w14:schemeClr w14:val="tx1"/>
            </w14:solidFill>
          </w14:textFill>
        </w:rPr>
      </w:pPr>
      <w:bookmarkStart w:id="16" w:name="_Toc3804"/>
      <w:bookmarkStart w:id="17" w:name="_Toc13153"/>
      <w:bookmarkStart w:id="18" w:name="_Toc30618"/>
      <w:r>
        <w:rPr>
          <w:rFonts w:hint="default" w:ascii="Times New Roman" w:hAnsi="Times New Roman" w:eastAsia="黑体" w:cs="Times New Roman"/>
          <w:b/>
          <w:bCs/>
          <w:color w:val="000000" w:themeColor="text1"/>
          <w:sz w:val="32"/>
          <w:szCs w:val="32"/>
          <w14:textFill>
            <w14:solidFill>
              <w14:schemeClr w14:val="tx1"/>
            </w14:solidFill>
          </w14:textFill>
        </w:rPr>
        <w:t>前　　言</w:t>
      </w:r>
      <w:bookmarkEnd w:id="16"/>
      <w:bookmarkEnd w:id="17"/>
      <w:bookmarkEnd w:id="18"/>
    </w:p>
    <w:p>
      <w:pPr>
        <w:pStyle w:val="62"/>
        <w:ind w:firstLine="420"/>
      </w:pPr>
      <w:r>
        <w:rPr>
          <w:rFonts w:hint="eastAsia"/>
        </w:rPr>
        <w:t>本文件按照GB/T 1.1—2020《标准化工作导则  第1部分：标准化文件的结构和起草规则》的规定起草。</w:t>
      </w:r>
    </w:p>
    <w:p>
      <w:pPr>
        <w:pStyle w:val="62"/>
        <w:ind w:firstLine="420"/>
      </w:pPr>
      <w:r>
        <w:rPr>
          <w:rFonts w:hint="eastAsia"/>
        </w:rPr>
        <w:t>本文件按照中国工程建设标准化协会《关于印发〈202</w:t>
      </w:r>
      <w:r>
        <w:t>4</w:t>
      </w:r>
      <w:r>
        <w:rPr>
          <w:rFonts w:hint="eastAsia"/>
        </w:rPr>
        <w:t>年第</w:t>
      </w:r>
      <w:r>
        <w:rPr>
          <w:rFonts w:hint="eastAsia"/>
          <w:lang w:val="en-US" w:eastAsia="zh-CN"/>
        </w:rPr>
        <w:t>二</w:t>
      </w:r>
      <w:r>
        <w:rPr>
          <w:rFonts w:hint="eastAsia"/>
        </w:rPr>
        <w:t>批协会标准制订、修订计划〉的通知》（建标协字〔202</w:t>
      </w:r>
      <w:r>
        <w:t>4</w:t>
      </w:r>
      <w:r>
        <w:rPr>
          <w:rFonts w:hint="eastAsia"/>
        </w:rPr>
        <w:t>〕</w:t>
      </w:r>
      <w:r>
        <w:t>15</w:t>
      </w:r>
      <w:r>
        <w:rPr>
          <w:rFonts w:hint="eastAsia"/>
        </w:rPr>
        <w:t>号）</w:t>
      </w:r>
      <w:r>
        <w:t>的要求制定。</w:t>
      </w:r>
    </w:p>
    <w:p>
      <w:pPr>
        <w:pStyle w:val="62"/>
        <w:ind w:firstLine="420"/>
        <w:rPr>
          <w:highlight w:val="none"/>
        </w:rPr>
      </w:pPr>
      <w:r>
        <w:rPr>
          <w:rFonts w:hint="eastAsia"/>
        </w:rPr>
        <w:t>本文件的某些</w:t>
      </w:r>
      <w:r>
        <w:rPr>
          <w:rFonts w:hint="eastAsia"/>
          <w:highlight w:val="none"/>
        </w:rPr>
        <w:t>内容可能涉及专利。本文件的发布机构不承担识别专利的责任。</w:t>
      </w:r>
    </w:p>
    <w:p>
      <w:pPr>
        <w:pStyle w:val="62"/>
        <w:ind w:firstLine="420"/>
        <w:rPr>
          <w:highlight w:val="none"/>
        </w:rPr>
      </w:pPr>
      <w:r>
        <w:rPr>
          <w:rFonts w:hint="eastAsia"/>
          <w:highlight w:val="none"/>
        </w:rPr>
        <w:t>本文件由</w:t>
      </w:r>
      <w:r>
        <w:rPr>
          <w:highlight w:val="none"/>
        </w:rPr>
        <w:t>中国工程建设标准</w:t>
      </w:r>
      <w:r>
        <w:rPr>
          <w:rFonts w:hint="eastAsia"/>
          <w:highlight w:val="none"/>
        </w:rPr>
        <w:t>化</w:t>
      </w:r>
      <w:r>
        <w:rPr>
          <w:highlight w:val="none"/>
        </w:rPr>
        <w:t>协会</w:t>
      </w:r>
      <w:r>
        <w:rPr>
          <w:rFonts w:hint="eastAsia"/>
          <w:highlight w:val="none"/>
        </w:rPr>
        <w:t>提出。</w:t>
      </w:r>
    </w:p>
    <w:p>
      <w:pPr>
        <w:pStyle w:val="62"/>
        <w:ind w:firstLine="420"/>
        <w:rPr>
          <w:highlight w:val="none"/>
        </w:rPr>
      </w:pPr>
      <w:r>
        <w:rPr>
          <w:rFonts w:hint="eastAsia"/>
          <w:highlight w:val="none"/>
        </w:rPr>
        <w:t>本文件由</w:t>
      </w:r>
      <w:r>
        <w:rPr>
          <w:highlight w:val="none"/>
        </w:rPr>
        <w:t>中国工程建设标准</w:t>
      </w:r>
      <w:r>
        <w:rPr>
          <w:rFonts w:hint="eastAsia"/>
          <w:highlight w:val="none"/>
        </w:rPr>
        <w:t>化</w:t>
      </w:r>
      <w:r>
        <w:rPr>
          <w:highlight w:val="none"/>
        </w:rPr>
        <w:t>协会</w:t>
      </w:r>
      <w:r>
        <w:rPr>
          <w:rFonts w:hint="eastAsia"/>
          <w:highlight w:val="none"/>
          <w:lang w:val="en-US" w:eastAsia="zh-CN"/>
        </w:rPr>
        <w:t>水运专业</w:t>
      </w:r>
      <w:r>
        <w:rPr>
          <w:rFonts w:hint="eastAsia"/>
          <w:highlight w:val="none"/>
        </w:rPr>
        <w:t>委员会归口。</w:t>
      </w:r>
      <w:bookmarkStart w:id="263" w:name="_GoBack"/>
      <w:bookmarkEnd w:id="263"/>
    </w:p>
    <w:p>
      <w:pPr>
        <w:pStyle w:val="62"/>
        <w:ind w:firstLine="420"/>
        <w:rPr>
          <w:highlight w:val="none"/>
        </w:rPr>
      </w:pPr>
      <w:r>
        <w:rPr>
          <w:rFonts w:hint="eastAsia"/>
          <w:highlight w:val="none"/>
        </w:rPr>
        <w:t>本文件负责起草单位：</w:t>
      </w:r>
    </w:p>
    <w:p>
      <w:pPr>
        <w:pStyle w:val="62"/>
        <w:ind w:firstLine="420"/>
      </w:pPr>
      <w:r>
        <w:rPr>
          <w:rFonts w:hint="eastAsia"/>
        </w:rPr>
        <w:t>本文件参加起草单位：</w:t>
      </w:r>
    </w:p>
    <w:p>
      <w:pPr>
        <w:pStyle w:val="62"/>
        <w:ind w:firstLine="420"/>
      </w:pPr>
      <w:r>
        <w:rPr>
          <w:rFonts w:hint="eastAsia"/>
        </w:rPr>
        <w:t>本文件主要起草人：</w:t>
      </w:r>
    </w:p>
    <w:p>
      <w:pPr>
        <w:pStyle w:val="62"/>
        <w:ind w:firstLine="420"/>
      </w:pPr>
      <w:r>
        <w:rPr>
          <w:rFonts w:hint="eastAsia"/>
        </w:rPr>
        <w:t>本文件主要审查人：</w:t>
      </w:r>
    </w:p>
    <w:sdt>
      <w:sdtPr>
        <w:rPr>
          <w:rFonts w:hint="default" w:ascii="Times New Roman" w:hAnsi="Times New Roman" w:cs="Times New Roman"/>
        </w:rPr>
        <w:tag w:val="NEW_STAND_NAME"/>
        <w:id w:val="595910757"/>
        <w:lock w:val="sdtLocked"/>
        <w:placeholder>
          <w:docPart w:val="9ACE2E07A64A4668BC51FC6904E747C9"/>
        </w:placeholder>
      </w:sdtPr>
      <w:sdtEndPr>
        <w:rPr>
          <w:rFonts w:hint="default" w:ascii="Times New Roman" w:hAnsi="Times New Roman" w:eastAsia="黑体" w:cs="Times New Roman"/>
          <w:sz w:val="32"/>
          <w:szCs w:val="32"/>
        </w:rPr>
      </w:sdtEndPr>
      <w:sdtContent>
        <w:p>
          <w:pPr>
            <w:pStyle w:val="183"/>
            <w:keepNext w:val="0"/>
            <w:keepLines w:val="0"/>
            <w:pageBreakBefore w:val="0"/>
            <w:widowControl/>
            <w:tabs>
              <w:tab w:val="left" w:leader="middleDot" w:pos="8306"/>
            </w:tabs>
            <w:kinsoku/>
            <w:wordWrap/>
            <w:overflowPunct/>
            <w:topLinePunct w:val="0"/>
            <w:autoSpaceDE/>
            <w:autoSpaceDN/>
            <w:bidi w:val="0"/>
            <w:adjustRightInd/>
            <w:snapToGrid/>
            <w:spacing w:beforeLines="0" w:after="0" w:line="360" w:lineRule="auto"/>
            <w:ind w:left="210" w:leftChars="100"/>
            <w:jc w:val="left"/>
            <w:textAlignment w:val="auto"/>
            <w:rPr>
              <w:rFonts w:hint="default" w:ascii="Times New Roman" w:hAnsi="Times New Roman" w:eastAsia="黑体" w:cs="Times New Roman"/>
              <w:sz w:val="21"/>
              <w:szCs w:val="21"/>
              <w:lang w:val="en-US" w:eastAsia="zh-CN"/>
            </w:rPr>
          </w:pPr>
          <w:bookmarkStart w:id="19" w:name="NEW_STAND_NAME"/>
          <w:bookmarkStart w:id="20" w:name="_Hlk75338997"/>
        </w:p>
        <w:p>
          <w:pPr>
            <w:pStyle w:val="183"/>
            <w:spacing w:before="436" w:beforeLines="182" w:after="528" w:afterLines="220"/>
            <w:rPr>
              <w:rFonts w:hint="default" w:ascii="Times New Roman" w:hAnsi="Times New Roman" w:cs="Times New Roman"/>
            </w:rPr>
          </w:pPr>
        </w:p>
        <w:p>
          <w:pPr>
            <w:pStyle w:val="183"/>
            <w:spacing w:before="436" w:beforeLines="182" w:after="528" w:afterLines="220"/>
            <w:rPr>
              <w:rFonts w:hint="default" w:ascii="Times New Roman" w:hAnsi="Times New Roman" w:cs="Times New Roman"/>
            </w:rPr>
          </w:pPr>
          <w:r>
            <w:rPr>
              <w:rFonts w:hint="default" w:ascii="Times New Roman" w:hAnsi="Times New Roman" w:cs="Times New Roman"/>
            </w:rPr>
            <w:br w:type="page"/>
          </w:r>
        </w:p>
        <w:p>
          <w:pPr>
            <w:pStyle w:val="183"/>
            <w:spacing w:before="436" w:beforeLines="182" w:after="528" w:afterLines="220"/>
            <w:rPr>
              <w:rFonts w:hint="default" w:ascii="Times New Roman" w:hAnsi="Times New Roman" w:cs="Times New Roman"/>
            </w:rPr>
          </w:pPr>
          <w:r>
            <w:rPr>
              <w:rFonts w:hint="default" w:ascii="Times New Roman" w:hAnsi="Times New Roman" w:cs="Times New Roman"/>
            </w:rPr>
            <w:t xml:space="preserve">温室气体 </w:t>
          </w:r>
          <w:r>
            <w:rPr>
              <w:rFonts w:hint="eastAsia" w:ascii="Times New Roman" w:hAnsi="Times New Roman" w:cs="Times New Roman"/>
              <w:lang w:val="en-US" w:eastAsia="zh-CN"/>
            </w:rPr>
            <w:t xml:space="preserve"> </w:t>
          </w:r>
          <w:r>
            <w:rPr>
              <w:rFonts w:hint="default" w:ascii="Times New Roman" w:hAnsi="Times New Roman" w:cs="Times New Roman"/>
            </w:rPr>
            <w:t xml:space="preserve">产品碳足迹量化方法与要求 </w:t>
          </w:r>
          <w:bookmarkStart w:id="21" w:name="OLE_LINK49"/>
          <w:bookmarkStart w:id="22" w:name="OLE_LINK3"/>
          <w:bookmarkStart w:id="23" w:name="OLE_LINK16"/>
          <w:r>
            <w:rPr>
              <w:rFonts w:hint="eastAsia" w:ascii="Times New Roman" w:hAnsi="Times New Roman" w:cs="Times New Roman"/>
              <w:lang w:val="en-US" w:eastAsia="zh-CN"/>
            </w:rPr>
            <w:t xml:space="preserve"> </w:t>
          </w:r>
          <w:r>
            <w:rPr>
              <w:rFonts w:hint="default" w:ascii="Times New Roman" w:hAnsi="Times New Roman" w:cs="Times New Roman"/>
            </w:rPr>
            <w:t>港口水工建筑物</w:t>
          </w:r>
          <w:bookmarkStart w:id="24" w:name="OLE_LINK5"/>
          <w:r>
            <w:rPr>
              <w:rFonts w:hint="default" w:ascii="Times New Roman" w:hAnsi="Times New Roman" w:cs="Times New Roman"/>
            </w:rPr>
            <w:t>预制混凝土构件</w:t>
          </w:r>
          <w:bookmarkEnd w:id="21"/>
        </w:p>
      </w:sdtContent>
    </w:sdt>
    <w:bookmarkEnd w:id="19"/>
    <w:bookmarkEnd w:id="20"/>
    <w:bookmarkEnd w:id="22"/>
    <w:bookmarkEnd w:id="23"/>
    <w:bookmarkEnd w:id="24"/>
    <w:p>
      <w:pPr>
        <w:pStyle w:val="110"/>
        <w:spacing w:before="312" w:after="312"/>
        <w:rPr>
          <w:rFonts w:hint="default" w:hAnsi="Times New Roman" w:cs="Times New Roman"/>
        </w:rPr>
      </w:pPr>
      <w:bookmarkStart w:id="25" w:name="_Toc26986771"/>
      <w:bookmarkStart w:id="26" w:name="_Toc17233333"/>
      <w:bookmarkStart w:id="27" w:name="_Toc26648465"/>
      <w:bookmarkStart w:id="28" w:name="_Toc17233325"/>
      <w:bookmarkStart w:id="29" w:name="_Toc25020"/>
      <w:bookmarkStart w:id="30" w:name="_Toc31451"/>
      <w:bookmarkStart w:id="31" w:name="_Toc26986530"/>
      <w:bookmarkStart w:id="32" w:name="_Toc4714"/>
      <w:bookmarkStart w:id="33" w:name="_Toc32395"/>
      <w:bookmarkStart w:id="34" w:name="_Toc24884211"/>
      <w:bookmarkStart w:id="35" w:name="_Toc24884218"/>
      <w:bookmarkStart w:id="36" w:name="_Toc26718930"/>
      <w:bookmarkStart w:id="37" w:name="_Toc73866678"/>
      <w:r>
        <w:rPr>
          <w:rFonts w:hint="default" w:hAnsi="Times New Roman" w:cs="Times New Roman"/>
        </w:rPr>
        <w:t>范围</w:t>
      </w:r>
      <w:bookmarkEnd w:id="25"/>
      <w:bookmarkEnd w:id="26"/>
      <w:bookmarkEnd w:id="27"/>
      <w:bookmarkEnd w:id="28"/>
      <w:bookmarkEnd w:id="29"/>
      <w:bookmarkEnd w:id="30"/>
      <w:bookmarkEnd w:id="31"/>
      <w:bookmarkEnd w:id="32"/>
      <w:bookmarkEnd w:id="33"/>
      <w:bookmarkEnd w:id="34"/>
      <w:bookmarkEnd w:id="35"/>
      <w:bookmarkEnd w:id="36"/>
    </w:p>
    <w:p>
      <w:pPr>
        <w:pStyle w:val="110"/>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firstLine="420" w:firstLineChars="200"/>
        <w:textAlignment w:val="auto"/>
        <w:rPr>
          <w:rFonts w:hint="default" w:ascii="Times New Roman" w:hAnsi="Times New Roman" w:eastAsia="宋体" w:cs="Times New Roman"/>
        </w:rPr>
      </w:pPr>
      <w:bookmarkStart w:id="38" w:name="_Toc4583"/>
      <w:bookmarkStart w:id="39" w:name="_Toc7492"/>
      <w:bookmarkStart w:id="40" w:name="_Toc26986531"/>
      <w:bookmarkStart w:id="41" w:name="_Toc18727"/>
      <w:bookmarkStart w:id="42" w:name="_Toc26648466"/>
      <w:bookmarkStart w:id="43" w:name="_Toc23319"/>
      <w:bookmarkStart w:id="44" w:name="_Toc24884212"/>
      <w:bookmarkStart w:id="45" w:name="_Toc17233334"/>
      <w:bookmarkStart w:id="46" w:name="_Toc24884219"/>
      <w:bookmarkStart w:id="47" w:name="_Toc26718931"/>
      <w:bookmarkStart w:id="48" w:name="_Toc23620"/>
      <w:bookmarkStart w:id="49" w:name="_Toc17233326"/>
      <w:bookmarkStart w:id="50" w:name="_Toc26986772"/>
      <w:r>
        <w:rPr>
          <w:rFonts w:hint="default" w:ascii="Times New Roman" w:hAnsi="Times New Roman" w:eastAsia="宋体" w:cs="Times New Roman"/>
        </w:rPr>
        <w:t>本文件规定了</w:t>
      </w:r>
      <w:bookmarkStart w:id="51" w:name="OLE_LINK4"/>
      <w:r>
        <w:rPr>
          <w:rFonts w:hint="default" w:ascii="Times New Roman" w:hAnsi="Times New Roman" w:eastAsia="宋体" w:cs="Times New Roman"/>
        </w:rPr>
        <w:t>港口水工建筑物混凝土预制构件</w:t>
      </w:r>
      <w:bookmarkEnd w:id="51"/>
      <w:r>
        <w:rPr>
          <w:rFonts w:hint="default" w:ascii="Times New Roman" w:hAnsi="Times New Roman" w:eastAsia="宋体" w:cs="Times New Roman"/>
        </w:rPr>
        <w:t>碳足迹的量化目的、量化范围、生命周期清单分析、产品碳足迹影响评价、产品碳足迹结果解释及产品碳足迹报告。</w:t>
      </w:r>
      <w:bookmarkEnd w:id="38"/>
      <w:bookmarkEnd w:id="39"/>
    </w:p>
    <w:p>
      <w:pPr>
        <w:pStyle w:val="110"/>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firstLine="420" w:firstLineChars="200"/>
        <w:textAlignment w:val="auto"/>
        <w:rPr>
          <w:rFonts w:hint="default" w:ascii="Times New Roman" w:hAnsi="Times New Roman" w:eastAsia="宋体" w:cs="Times New Roman"/>
        </w:rPr>
      </w:pPr>
      <w:bookmarkStart w:id="52" w:name="_Toc16092"/>
      <w:bookmarkStart w:id="53" w:name="_Toc26770"/>
      <w:r>
        <w:rPr>
          <w:rFonts w:hint="default" w:ascii="Times New Roman" w:hAnsi="Times New Roman" w:eastAsia="宋体" w:cs="Times New Roman"/>
        </w:rPr>
        <w:t>本文件适用于港口水工建筑物混凝土预制构件碳足迹的量化核算。</w:t>
      </w:r>
      <w:bookmarkEnd w:id="52"/>
      <w:bookmarkEnd w:id="53"/>
    </w:p>
    <w:p>
      <w:pPr>
        <w:pStyle w:val="110"/>
        <w:spacing w:before="312" w:after="312"/>
        <w:rPr>
          <w:rFonts w:hint="default" w:hAnsi="Times New Roman" w:cs="Times New Roman"/>
        </w:rPr>
      </w:pPr>
      <w:bookmarkStart w:id="54" w:name="_Toc6173"/>
      <w:r>
        <w:rPr>
          <w:rFonts w:hint="default" w:hAnsi="Times New Roman" w:cs="Times New Roman"/>
        </w:rPr>
        <w:t>规范性引用文件</w:t>
      </w:r>
      <w:bookmarkEnd w:id="40"/>
      <w:bookmarkEnd w:id="41"/>
      <w:bookmarkEnd w:id="42"/>
      <w:bookmarkEnd w:id="43"/>
      <w:bookmarkEnd w:id="44"/>
      <w:bookmarkEnd w:id="45"/>
      <w:bookmarkEnd w:id="46"/>
      <w:bookmarkEnd w:id="47"/>
      <w:bookmarkEnd w:id="48"/>
      <w:bookmarkEnd w:id="49"/>
      <w:bookmarkEnd w:id="50"/>
      <w:bookmarkEnd w:id="54"/>
    </w:p>
    <w:sdt>
      <w:sdtPr>
        <w:rPr>
          <w:rFonts w:hint="default" w:ascii="Times New Roman" w:hAnsi="Times New Roman" w:eastAsia="宋体" w:cs="Times New Roman"/>
          <w:sz w:val="21"/>
          <w:lang w:val="en-US" w:eastAsia="zh-CN" w:bidi="ar-SA"/>
        </w:rPr>
        <w:id w:val="715848253"/>
        <w:placeholder>
          <w:docPart w:val="{fe5e0586-4ce2-43e4-a2e5-803c4e0f2c4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default" w:ascii="Times New Roman" w:hAnsi="Times New Roman" w:eastAsia="宋体" w:cs="Times New Roman"/>
          <w:sz w:val="21"/>
          <w:lang w:val="en-US" w:eastAsia="zh-CN" w:bidi="ar-SA"/>
        </w:rPr>
      </w:sdtEndPr>
      <w:sdtContent>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eastAsia="宋体" w:cs="Times New Roman"/>
              <w:sz w:val="21"/>
              <w:lang w:val="en-US" w:eastAsia="zh-CN" w:bidi="ar-S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GB/T 24025-2009 环境标志和声明 Ⅲ型环境声明 原则和程序</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 xml:space="preserve">GB/T 24040 环境管理 生命周期评价 原则与框架 </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 xml:space="preserve">GB/T 24044 环境管理 生命周期评价 要求与指南 </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GB/T 51366-2019 建筑碳排放计算标准</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GB/T 24067 温室气体 产品碳足迹 量化要求和指南</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GB/T 32150 工业企业温室气体排放核算和报告通则</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 xml:space="preserve">ISO 14021:2016 环境标签和声明 自我环境声明（Ⅱ型环境声明） </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 xml:space="preserve">ISO 14026:2017 环境标签和声明.足迹信息通信的原则、要求和指南 </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 xml:space="preserve">ISO 14067：2018 温室气体 产品碳足迹 量化要求及指南 </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ISO 21930:2017 建筑和土木工程的可持续性 建筑产品和服务环境产品申报的核心规则</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GB/T 51231-2016 装配式混凝土建筑技术标准</w:t>
      </w:r>
    </w:p>
    <w:p>
      <w:pPr>
        <w:pStyle w:val="110"/>
        <w:spacing w:before="312" w:after="312"/>
        <w:rPr>
          <w:rFonts w:hint="default" w:hAnsi="Times New Roman" w:cs="Times New Roman"/>
        </w:rPr>
      </w:pPr>
      <w:bookmarkStart w:id="55" w:name="_Toc2220"/>
      <w:bookmarkStart w:id="56" w:name="_Toc3997"/>
      <w:bookmarkStart w:id="57" w:name="_Toc3634"/>
      <w:bookmarkStart w:id="58" w:name="_Toc22161"/>
      <w:r>
        <w:rPr>
          <w:rFonts w:hint="default" w:hAnsi="Times New Roman" w:cs="Times New Roman"/>
        </w:rPr>
        <w:t>术语和定义</w:t>
      </w:r>
      <w:bookmarkEnd w:id="55"/>
      <w:bookmarkEnd w:id="56"/>
      <w:bookmarkEnd w:id="57"/>
      <w:bookmarkEnd w:id="58"/>
    </w:p>
    <w:sdt>
      <w:sdtPr>
        <w:rPr>
          <w:rFonts w:hint="default" w:ascii="Times New Roman" w:hAnsi="Times New Roman" w:cs="Times New Roman"/>
        </w:rPr>
        <w:id w:val="-1909835108"/>
        <w:placeholder>
          <w:docPart w:val="{fe5e0586-4ce2-43e4-a2e5-803c4e0f2c4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default" w:ascii="Times New Roman" w:hAnsi="Times New Roman" w:cs="Times New Roman"/>
        </w:rPr>
      </w:sdtEndPr>
      <w:sdtContent>
        <w:p>
          <w:pPr>
            <w:pStyle w:val="62"/>
            <w:spacing w:line="360" w:lineRule="auto"/>
            <w:ind w:firstLine="420"/>
            <w:rPr>
              <w:rFonts w:hint="default" w:ascii="Times New Roman" w:hAnsi="Times New Roman" w:cs="Times New Roman"/>
            </w:rPr>
          </w:pPr>
          <w:bookmarkStart w:id="59" w:name="_Toc26986532"/>
          <w:bookmarkEnd w:id="59"/>
          <w:r>
            <w:rPr>
              <w:rFonts w:hint="default" w:ascii="Times New Roman" w:hAnsi="Times New Roman" w:cs="Times New Roman"/>
            </w:rPr>
            <w:t>下列术语和定义适用于本文件。</w:t>
          </w:r>
        </w:p>
      </w:sdtContent>
    </w:sdt>
    <w:p>
      <w:pPr>
        <w:pStyle w:val="229"/>
        <w:spacing w:line="360" w:lineRule="auto"/>
        <w:outlineLvl w:val="1"/>
        <w:rPr>
          <w:rFonts w:hint="default" w:ascii="Times New Roman" w:hAnsi="Times New Roman" w:eastAsia="黑体" w:cs="Times New Roman"/>
        </w:rPr>
      </w:pPr>
      <w:bookmarkStart w:id="60" w:name="_Toc11259"/>
      <w:bookmarkStart w:id="61" w:name="_Toc6964"/>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预制混凝土构件</w:t>
      </w:r>
      <w:r>
        <w:rPr>
          <w:rFonts w:hint="eastAsia" w:ascii="黑体" w:hAnsi="黑体" w:eastAsia="黑体" w:cs="黑体"/>
        </w:rPr>
        <w:t xml:space="preserve"> </w:t>
      </w:r>
      <w:bookmarkStart w:id="62" w:name="OLE_LINK41"/>
      <w:r>
        <w:rPr>
          <w:rFonts w:hint="eastAsia" w:ascii="黑体" w:hAnsi="黑体" w:eastAsia="黑体" w:cs="黑体"/>
        </w:rPr>
        <w:t>precast concrete component</w:t>
      </w:r>
      <w:bookmarkEnd w:id="60"/>
      <w:bookmarkEnd w:id="61"/>
      <w:bookmarkEnd w:id="62"/>
    </w:p>
    <w:p>
      <w:pPr>
        <w:pStyle w:val="62"/>
        <w:spacing w:line="360" w:lineRule="auto"/>
        <w:ind w:firstLine="420"/>
        <w:rPr>
          <w:rFonts w:hint="default" w:ascii="Times New Roman" w:hAnsi="Times New Roman" w:cs="Times New Roman"/>
        </w:rPr>
      </w:pPr>
      <w:bookmarkStart w:id="63" w:name="OLE_LINK40"/>
      <w:r>
        <w:rPr>
          <w:rFonts w:hint="default" w:ascii="Times New Roman" w:hAnsi="Times New Roman" w:cs="Times New Roman"/>
        </w:rPr>
        <w:t>在工厂或现场预先生产制作的混凝土构件。</w:t>
      </w:r>
    </w:p>
    <w:bookmarkEnd w:id="63"/>
    <w:p>
      <w:pPr>
        <w:pStyle w:val="62"/>
        <w:spacing w:line="360" w:lineRule="auto"/>
        <w:ind w:firstLine="420"/>
        <w:rPr>
          <w:rFonts w:hint="default" w:ascii="Times New Roman" w:hAnsi="Times New Roman" w:cs="Times New Roman"/>
        </w:rPr>
      </w:pPr>
      <w:r>
        <w:rPr>
          <w:rFonts w:hint="default" w:ascii="Times New Roman" w:hAnsi="Times New Roman" w:cs="Times New Roman"/>
        </w:rPr>
        <w:t>[来源：</w:t>
      </w:r>
      <w:bookmarkStart w:id="64" w:name="OLE_LINK38"/>
      <w:r>
        <w:rPr>
          <w:rFonts w:hint="default" w:ascii="Times New Roman" w:hAnsi="Times New Roman" w:cs="Times New Roman"/>
        </w:rPr>
        <w:t>GB/T 51231</w:t>
      </w:r>
      <w:bookmarkEnd w:id="64"/>
      <w:r>
        <w:rPr>
          <w:rFonts w:hint="default" w:ascii="Times New Roman" w:hAnsi="Times New Roman" w:cs="Times New Roman"/>
        </w:rPr>
        <w:t>-2016，2.1.23]</w:t>
      </w:r>
    </w:p>
    <w:p>
      <w:pPr>
        <w:pStyle w:val="229"/>
        <w:spacing w:line="360" w:lineRule="auto"/>
        <w:outlineLvl w:val="1"/>
        <w:rPr>
          <w:rFonts w:hint="default" w:ascii="Times New Roman" w:hAnsi="Times New Roman" w:eastAsia="黑体" w:cs="Times New Roman"/>
        </w:rPr>
      </w:pPr>
      <w:bookmarkStart w:id="65" w:name="_Toc25933"/>
      <w:bookmarkStart w:id="66" w:name="_Toc29024"/>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温室气体</w:t>
      </w:r>
      <w:r>
        <w:rPr>
          <w:rFonts w:hint="default" w:ascii="黑体" w:hAnsi="黑体" w:eastAsia="黑体" w:cs="黑体"/>
        </w:rPr>
        <w:t xml:space="preserve"> greenhouse gas</w:t>
      </w:r>
      <w:r>
        <w:rPr>
          <w:rFonts w:hint="default" w:ascii="黑体" w:hAnsi="黑体" w:eastAsia="黑体" w:cs="黑体"/>
          <w:lang w:val="en-US" w:eastAsia="zh-CN"/>
        </w:rPr>
        <w:t xml:space="preserve"> </w:t>
      </w:r>
      <w:r>
        <w:rPr>
          <w:rFonts w:hint="default" w:ascii="黑体" w:hAnsi="黑体" w:eastAsia="黑体" w:cs="黑体"/>
        </w:rPr>
        <w:t>GHG</w:t>
      </w:r>
      <w:bookmarkEnd w:id="65"/>
      <w:bookmarkEnd w:id="66"/>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大气层中自然存在的和由于人类活动产生的能够吸收和散发由地球表面、大气层和云层所产生的、波长在红外光谱内的辐射的气态成分。</w:t>
      </w:r>
    </w:p>
    <w:p>
      <w:pPr>
        <w:pStyle w:val="62"/>
        <w:spacing w:line="360" w:lineRule="auto"/>
        <w:ind w:firstLine="420"/>
        <w:rPr>
          <w:rFonts w:hint="default" w:ascii="Times New Roman" w:hAnsi="Times New Roman" w:cs="Times New Roman"/>
        </w:rPr>
      </w:pPr>
      <w:r>
        <w:rPr>
          <w:rFonts w:hint="default" w:ascii="Times New Roman" w:hAnsi="Times New Roman" w:cs="Times New Roman"/>
        </w:rPr>
        <w:t>[来源：GB/T 32150—2015，3.1，有修改]</w:t>
      </w:r>
    </w:p>
    <w:p>
      <w:pPr>
        <w:pStyle w:val="229"/>
        <w:spacing w:line="360" w:lineRule="auto"/>
        <w:outlineLvl w:val="1"/>
        <w:rPr>
          <w:rFonts w:hint="default" w:ascii="Times New Roman" w:hAnsi="Times New Roman" w:eastAsia="黑体" w:cs="Times New Roman"/>
        </w:rPr>
      </w:pPr>
      <w:bookmarkStart w:id="67" w:name="_Toc4325"/>
      <w:bookmarkStart w:id="68" w:name="_Toc2312"/>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产品碳足迹 </w:t>
      </w:r>
      <w:r>
        <w:rPr>
          <w:rFonts w:hint="default" w:ascii="黑体" w:hAnsi="黑体" w:eastAsia="黑体" w:cs="黑体"/>
        </w:rPr>
        <w:t>carbon footprint of a product</w:t>
      </w:r>
      <w:r>
        <w:rPr>
          <w:rFonts w:hint="default" w:ascii="黑体" w:hAnsi="黑体" w:eastAsia="黑体" w:cs="黑体"/>
          <w:lang w:val="en-US" w:eastAsia="zh-CN"/>
        </w:rPr>
        <w:t xml:space="preserve"> </w:t>
      </w:r>
      <w:r>
        <w:rPr>
          <w:rFonts w:hint="default" w:ascii="黑体" w:hAnsi="黑体" w:eastAsia="黑体" w:cs="黑体"/>
        </w:rPr>
        <w:t>CFP</w:t>
      </w:r>
      <w:bookmarkEnd w:id="67"/>
      <w:bookmarkEnd w:id="68"/>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szCs w:val="21"/>
        </w:rPr>
      </w:pPr>
      <w:bookmarkStart w:id="69" w:name="OLE_LINK21"/>
      <w:r>
        <w:rPr>
          <w:rFonts w:hint="default" w:ascii="Times New Roman" w:hAnsi="Times New Roman" w:cs="Times New Roman"/>
          <w:szCs w:val="21"/>
        </w:rPr>
        <w:t>产品系统中的温室气体排放量与清除量之和，以二氧化碳当量表示，并基于气候变化这一单一环境影响类型进行生命周期评价。</w:t>
      </w:r>
      <w:bookmarkEnd w:id="69"/>
    </w:p>
    <w:p>
      <w:pPr>
        <w:pStyle w:val="62"/>
        <w:spacing w:line="360" w:lineRule="auto"/>
        <w:ind w:firstLine="420"/>
        <w:rPr>
          <w:rFonts w:hint="default" w:ascii="Times New Roman" w:hAnsi="Times New Roman" w:cs="Times New Roman"/>
        </w:rPr>
      </w:pPr>
      <w:r>
        <w:rPr>
          <w:rFonts w:hint="default" w:ascii="Times New Roman" w:hAnsi="Times New Roman" w:cs="Times New Roman"/>
        </w:rPr>
        <w:t>[来源:GB/T24067—2024,3.1.1]</w:t>
      </w:r>
    </w:p>
    <w:p>
      <w:pPr>
        <w:pStyle w:val="229"/>
        <w:spacing w:line="360" w:lineRule="auto"/>
        <w:outlineLvl w:val="1"/>
        <w:rPr>
          <w:rFonts w:hint="default" w:ascii="Times New Roman" w:hAnsi="Times New Roman" w:eastAsia="黑体" w:cs="Times New Roman"/>
        </w:rPr>
      </w:pPr>
      <w:bookmarkStart w:id="70" w:name="_Toc15018"/>
      <w:bookmarkStart w:id="71" w:name="_Toc17011"/>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产品部分碳足迹</w:t>
      </w:r>
      <w:r>
        <w:rPr>
          <w:rFonts w:hint="default" w:ascii="黑体" w:hAnsi="黑体" w:eastAsia="黑体" w:cs="黑体"/>
        </w:rPr>
        <w:t xml:space="preserve"> partial carbon foot print of a product</w:t>
      </w:r>
      <w:bookmarkEnd w:id="70"/>
      <w:bookmarkEnd w:id="71"/>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szCs w:val="21"/>
        </w:rPr>
      </w:pPr>
      <w:bookmarkStart w:id="72" w:name="_Toc12533"/>
      <w:bookmarkStart w:id="73" w:name="_Toc8984"/>
      <w:bookmarkStart w:id="74" w:name="_Toc10614"/>
      <w:bookmarkStart w:id="75" w:name="_Toc1526"/>
      <w:bookmarkStart w:id="76" w:name="_Toc32316"/>
      <w:bookmarkStart w:id="77" w:name="_Toc6141"/>
      <w:r>
        <w:rPr>
          <w:rFonts w:hint="default" w:ascii="Times New Roman" w:hAnsi="Times New Roman" w:cs="Times New Roman"/>
          <w:szCs w:val="21"/>
        </w:rPr>
        <w:t>在产品系统生命周期内的一个或多个选定阶段或过程中的温室气体排放量和清除量之和,以二氧化碳当量表示。</w:t>
      </w:r>
    </w:p>
    <w:p>
      <w:pPr>
        <w:pStyle w:val="62"/>
        <w:spacing w:line="360" w:lineRule="auto"/>
        <w:ind w:firstLine="420"/>
        <w:rPr>
          <w:rFonts w:hint="default" w:ascii="Times New Roman" w:hAnsi="Times New Roman" w:cs="Times New Roman"/>
        </w:rPr>
      </w:pPr>
      <w:r>
        <w:rPr>
          <w:rFonts w:hint="default" w:ascii="Times New Roman" w:hAnsi="Times New Roman" w:cs="Times New Roman"/>
        </w:rPr>
        <w:t>[来源:GB/T24067—2024,3.1.2]</w:t>
      </w:r>
    </w:p>
    <w:bookmarkEnd w:id="72"/>
    <w:bookmarkEnd w:id="73"/>
    <w:bookmarkEnd w:id="74"/>
    <w:bookmarkEnd w:id="75"/>
    <w:bookmarkEnd w:id="76"/>
    <w:bookmarkEnd w:id="77"/>
    <w:p>
      <w:pPr>
        <w:pStyle w:val="229"/>
        <w:spacing w:line="360" w:lineRule="auto"/>
        <w:outlineLvl w:val="1"/>
        <w:rPr>
          <w:rFonts w:hint="default" w:ascii="Times New Roman" w:hAnsi="Times New Roman" w:eastAsia="黑体" w:cs="Times New Roman"/>
        </w:rPr>
      </w:pPr>
      <w:bookmarkStart w:id="78" w:name="_Toc11596"/>
      <w:bookmarkStart w:id="79" w:name="_Toc6410"/>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系统边界 </w:t>
      </w:r>
      <w:r>
        <w:rPr>
          <w:rFonts w:hint="default" w:ascii="黑体" w:hAnsi="黑体" w:eastAsia="黑体" w:cs="黑体"/>
        </w:rPr>
        <w:t>system boundary</w:t>
      </w:r>
      <w:bookmarkEnd w:id="78"/>
      <w:bookmarkEnd w:id="79"/>
    </w:p>
    <w:p>
      <w:pPr>
        <w:pStyle w:val="62"/>
        <w:spacing w:line="360" w:lineRule="auto"/>
        <w:ind w:firstLine="420"/>
        <w:rPr>
          <w:rFonts w:hint="default" w:ascii="Times New Roman" w:hAnsi="Times New Roman" w:cs="Times New Roman"/>
        </w:rPr>
      </w:pPr>
      <w:r>
        <w:rPr>
          <w:rFonts w:hint="default" w:ascii="Times New Roman" w:hAnsi="Times New Roman" w:cs="Times New Roman"/>
        </w:rPr>
        <w:t>通过一组准则确定哪些单元过程属于产品系统的一部分。</w:t>
      </w:r>
    </w:p>
    <w:p>
      <w:pPr>
        <w:pStyle w:val="62"/>
        <w:spacing w:line="360" w:lineRule="auto"/>
        <w:ind w:firstLine="420"/>
        <w:rPr>
          <w:rFonts w:hint="default" w:ascii="Times New Roman" w:hAnsi="Times New Roman" w:cs="Times New Roman"/>
        </w:rPr>
      </w:pPr>
      <w:r>
        <w:rPr>
          <w:rFonts w:hint="default" w:ascii="Times New Roman" w:hAnsi="Times New Roman" w:cs="Times New Roman"/>
        </w:rPr>
        <w:t>[来源:GB/T24067—2024,3.3.4]</w:t>
      </w:r>
    </w:p>
    <w:p>
      <w:pPr>
        <w:pStyle w:val="229"/>
        <w:spacing w:line="360" w:lineRule="auto"/>
        <w:outlineLvl w:val="1"/>
        <w:rPr>
          <w:rFonts w:hint="default" w:ascii="Times New Roman" w:hAnsi="Times New Roman" w:eastAsia="黑体" w:cs="Times New Roman"/>
        </w:rPr>
      </w:pPr>
      <w:bookmarkStart w:id="80" w:name="_Toc22689"/>
      <w:bookmarkStart w:id="81" w:name="_Toc19660"/>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单元过程</w:t>
      </w:r>
      <w:r>
        <w:rPr>
          <w:rFonts w:hint="default" w:ascii="黑体" w:hAnsi="黑体" w:eastAsia="黑体" w:cs="黑体"/>
        </w:rPr>
        <w:t xml:space="preserve"> unit process</w:t>
      </w:r>
      <w:bookmarkEnd w:id="80"/>
      <w:bookmarkEnd w:id="81"/>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生命周期评价中为量化输入和输出数据而确定的最基本部分。</w:t>
      </w:r>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[来源：GB/T 24040-2008，3.34]</w:t>
      </w:r>
    </w:p>
    <w:p>
      <w:pPr>
        <w:pStyle w:val="229"/>
        <w:spacing w:line="360" w:lineRule="auto"/>
        <w:outlineLvl w:val="1"/>
        <w:rPr>
          <w:rFonts w:hint="default" w:ascii="Times New Roman" w:hAnsi="Times New Roman" w:eastAsia="黑体" w:cs="Times New Roman"/>
        </w:rPr>
      </w:pPr>
      <w:bookmarkStart w:id="82" w:name="_Toc16243"/>
      <w:bookmarkStart w:id="83" w:name="_Toc24341"/>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生命周期清单分析 </w:t>
      </w:r>
      <w:r>
        <w:rPr>
          <w:rFonts w:hint="default" w:ascii="黑体" w:hAnsi="黑体" w:eastAsia="黑体" w:cs="黑体"/>
        </w:rPr>
        <w:t>life cycle inventory analysis; LCI</w:t>
      </w:r>
      <w:bookmarkEnd w:id="82"/>
      <w:bookmarkEnd w:id="83"/>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生命周期评价的阶段,涉及产品整个生命周期内输入和输出的汇编和量化。</w:t>
      </w:r>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[来源:GB/T24067—2024,3.4.4]</w:t>
      </w:r>
    </w:p>
    <w:p>
      <w:pPr>
        <w:pStyle w:val="229"/>
        <w:spacing w:line="360" w:lineRule="auto"/>
        <w:outlineLvl w:val="1"/>
        <w:rPr>
          <w:rFonts w:hint="default" w:ascii="Times New Roman" w:hAnsi="Times New Roman" w:eastAsia="黑体" w:cs="Times New Roman"/>
        </w:rPr>
      </w:pPr>
      <w:bookmarkStart w:id="84" w:name="_Toc2879"/>
      <w:bookmarkStart w:id="85" w:name="_Toc4352"/>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功能单位 </w:t>
      </w:r>
      <w:r>
        <w:rPr>
          <w:rFonts w:hint="default" w:ascii="黑体" w:hAnsi="黑体" w:eastAsia="黑体" w:cs="黑体"/>
        </w:rPr>
        <w:t>functional unit</w:t>
      </w:r>
      <w:bookmarkEnd w:id="84"/>
      <w:bookmarkEnd w:id="85"/>
    </w:p>
    <w:p>
      <w:pPr>
        <w:pStyle w:val="62"/>
        <w:spacing w:line="360" w:lineRule="auto"/>
        <w:ind w:firstLine="420"/>
        <w:rPr>
          <w:rFonts w:hint="default" w:ascii="Times New Roman" w:hAnsi="Times New Roman" w:cs="Times New Roman"/>
        </w:rPr>
      </w:pPr>
      <w:r>
        <w:rPr>
          <w:rFonts w:hint="default" w:ascii="Times New Roman" w:hAnsi="Times New Roman" w:cs="Times New Roman"/>
        </w:rPr>
        <w:t>用来量化产品系统功能的基准单位。</w:t>
      </w:r>
    </w:p>
    <w:p>
      <w:pPr>
        <w:pStyle w:val="62"/>
        <w:spacing w:line="360" w:lineRule="auto"/>
        <w:ind w:firstLine="420"/>
        <w:rPr>
          <w:rFonts w:hint="default" w:ascii="Times New Roman" w:hAnsi="Times New Roman" w:cs="Times New Roman"/>
        </w:rPr>
      </w:pPr>
      <w:r>
        <w:rPr>
          <w:rFonts w:hint="default" w:ascii="Times New Roman" w:hAnsi="Times New Roman" w:cs="Times New Roman"/>
        </w:rPr>
        <w:t>[来源:GB/T24067—2024,3.3.7]</w:t>
      </w:r>
    </w:p>
    <w:p>
      <w:pPr>
        <w:pStyle w:val="229"/>
        <w:spacing w:line="360" w:lineRule="auto"/>
        <w:outlineLvl w:val="1"/>
        <w:rPr>
          <w:rFonts w:hint="default" w:ascii="Times New Roman" w:hAnsi="Times New Roman" w:eastAsia="黑体" w:cs="Times New Roman"/>
        </w:rPr>
      </w:pPr>
      <w:bookmarkStart w:id="86" w:name="_Toc14081"/>
      <w:bookmarkStart w:id="87" w:name="_Toc11417"/>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取舍准则 </w:t>
      </w:r>
      <w:r>
        <w:rPr>
          <w:rFonts w:hint="default" w:ascii="黑体" w:hAnsi="黑体" w:eastAsia="黑体" w:cs="黑体"/>
        </w:rPr>
        <w:t>cut-off criteria</w:t>
      </w:r>
      <w:bookmarkEnd w:id="86"/>
      <w:bookmarkEnd w:id="87"/>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与单元过程或产品系统相关的物质或能量流的数量或环境影响重要性程度是否被排除在评价范围之外所作的规定。</w:t>
      </w:r>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[来源：GB/T 24040-2008，3.18]</w:t>
      </w:r>
    </w:p>
    <w:p>
      <w:pPr>
        <w:pStyle w:val="229"/>
        <w:spacing w:line="360" w:lineRule="auto"/>
        <w:outlineLvl w:val="1"/>
        <w:rPr>
          <w:rFonts w:hint="default" w:ascii="Times New Roman" w:hAnsi="Times New Roman" w:eastAsia="黑体" w:cs="Times New Roman"/>
        </w:rPr>
      </w:pPr>
      <w:bookmarkStart w:id="88" w:name="_Toc5752"/>
      <w:bookmarkStart w:id="89" w:name="_Toc17071"/>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从摇篮到大门</w:t>
      </w:r>
      <w:r>
        <w:rPr>
          <w:rFonts w:hint="default" w:ascii="黑体" w:hAnsi="黑体" w:eastAsia="黑体" w:cs="黑体"/>
        </w:rPr>
        <w:t>cradle to gate</w:t>
      </w:r>
      <w:bookmarkEnd w:id="88"/>
      <w:bookmarkEnd w:id="89"/>
    </w:p>
    <w:p>
      <w:pPr>
        <w:pStyle w:val="62"/>
        <w:spacing w:line="360" w:lineRule="auto"/>
        <w:ind w:firstLine="420"/>
        <w:jc w:val="left"/>
        <w:rPr>
          <w:rFonts w:hint="default" w:ascii="Times New Roman" w:hAnsi="Times New Roman" w:cs="Times New Roman"/>
          <w:szCs w:val="21"/>
        </w:rPr>
      </w:pPr>
      <w:r>
        <w:rPr>
          <w:rFonts w:hint="default" w:ascii="Times New Roman" w:hAnsi="Times New Roman" w:cs="Times New Roman"/>
          <w:szCs w:val="21"/>
        </w:rPr>
        <w:t>指产品从原材料获取到产品生产完成的过程。</w:t>
      </w:r>
    </w:p>
    <w:p>
      <w:pPr>
        <w:pStyle w:val="229"/>
        <w:spacing w:line="360" w:lineRule="auto"/>
        <w:outlineLvl w:val="1"/>
        <w:rPr>
          <w:rFonts w:hint="default" w:ascii="Times New Roman" w:hAnsi="Times New Roman" w:eastAsia="黑体" w:cs="Times New Roman"/>
        </w:rPr>
      </w:pPr>
      <w:bookmarkStart w:id="90" w:name="_Toc3835"/>
      <w:bookmarkStart w:id="91" w:name="_Toc24395"/>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从摇篮到坟墓</w:t>
      </w:r>
      <w:r>
        <w:rPr>
          <w:rFonts w:hint="default" w:ascii="黑体" w:hAnsi="黑体" w:eastAsia="黑体" w:cs="黑体"/>
        </w:rPr>
        <w:t>cradle to grave</w:t>
      </w:r>
      <w:bookmarkEnd w:id="90"/>
      <w:bookmarkEnd w:id="91"/>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指产品从原料开采、加工、制造、使用、维护等直到最终处理或再生利用的过程。</w:t>
      </w:r>
    </w:p>
    <w:p>
      <w:pPr>
        <w:pStyle w:val="229"/>
        <w:spacing w:line="360" w:lineRule="auto"/>
        <w:outlineLvl w:val="1"/>
        <w:rPr>
          <w:rFonts w:hint="default" w:ascii="Times New Roman" w:hAnsi="Times New Roman" w:eastAsia="黑体" w:cs="Times New Roman"/>
        </w:rPr>
      </w:pPr>
      <w:bookmarkStart w:id="92" w:name="_Toc24792"/>
      <w:bookmarkStart w:id="93" w:name="_Toc25309"/>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初级数据 </w:t>
      </w:r>
      <w:r>
        <w:rPr>
          <w:rFonts w:hint="default" w:ascii="黑体" w:hAnsi="黑体" w:eastAsia="黑体" w:cs="黑体"/>
        </w:rPr>
        <w:t>primary data</w:t>
      </w:r>
      <w:bookmarkEnd w:id="92"/>
      <w:bookmarkEnd w:id="93"/>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通过直接测量或基于直接测量的计算得到的过程或活动的量化值。</w:t>
      </w:r>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[来源：GB/T 24067—2024，3.6.1，有修改]</w:t>
      </w:r>
    </w:p>
    <w:p>
      <w:pPr>
        <w:pStyle w:val="229"/>
        <w:spacing w:line="360" w:lineRule="auto"/>
        <w:outlineLvl w:val="1"/>
        <w:rPr>
          <w:rFonts w:hint="default" w:ascii="Times New Roman" w:hAnsi="Times New Roman" w:eastAsia="黑体" w:cs="Times New Roman"/>
        </w:rPr>
      </w:pPr>
      <w:bookmarkStart w:id="94" w:name="_Toc21263"/>
      <w:bookmarkStart w:id="95" w:name="_Toc20377"/>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次级数据 </w:t>
      </w:r>
      <w:r>
        <w:rPr>
          <w:rFonts w:hint="default" w:ascii="黑体" w:hAnsi="黑体" w:eastAsia="黑体" w:cs="黑体"/>
        </w:rPr>
        <w:t>secondary data</w:t>
      </w:r>
      <w:bookmarkEnd w:id="94"/>
      <w:bookmarkEnd w:id="95"/>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不符合初级数据要求的数据。</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注1：次级数据是经权威机构验证且具有可信度的数据，可来源于数据库、公开文献、国家排放因子、计算估算数据或其他具有代表性的数据，推荐使用本土化数据库。</w:t>
      </w:r>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注2：次级数据可包括从代替过程或估计获得的数据。</w:t>
      </w:r>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[来源：GB/T 24067—2024，3.6.3]</w:t>
      </w:r>
    </w:p>
    <w:p>
      <w:pPr>
        <w:pStyle w:val="229"/>
        <w:spacing w:line="360" w:lineRule="auto"/>
        <w:outlineLvl w:val="1"/>
        <w:rPr>
          <w:rFonts w:hint="default" w:ascii="Times New Roman" w:hAnsi="Times New Roman" w:eastAsia="黑体" w:cs="Times New Roman"/>
        </w:rPr>
      </w:pPr>
      <w:bookmarkStart w:id="96" w:name="_Toc22577"/>
      <w:bookmarkStart w:id="97" w:name="_Toc15833"/>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活动数据 </w:t>
      </w:r>
      <w:r>
        <w:rPr>
          <w:rFonts w:hint="default" w:ascii="黑体" w:hAnsi="黑体" w:eastAsia="黑体" w:cs="黑体"/>
        </w:rPr>
        <w:t>activity data</w:t>
      </w:r>
      <w:bookmarkEnd w:id="96"/>
      <w:bookmarkEnd w:id="97"/>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导致二氧化碳排放的生产或消费活动量表征值，例如各种燃料的消耗量、原料的使用量、产品产量、外购电量、外购蒸汽量等。</w:t>
      </w:r>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[来源：GB/T 32150-2015，3.12]</w:t>
      </w:r>
    </w:p>
    <w:p>
      <w:pPr>
        <w:pStyle w:val="229"/>
        <w:spacing w:line="360" w:lineRule="auto"/>
        <w:outlineLvl w:val="1"/>
        <w:rPr>
          <w:rFonts w:hint="default" w:ascii="Times New Roman" w:hAnsi="Times New Roman" w:eastAsia="黑体" w:cs="Times New Roman"/>
        </w:rPr>
      </w:pPr>
      <w:bookmarkStart w:id="98" w:name="_Toc31282"/>
      <w:bookmarkStart w:id="99" w:name="_Toc10742"/>
    </w:p>
    <w:p>
      <w:pPr>
        <w:pStyle w:val="229"/>
        <w:numPr>
          <w:ilvl w:val="2"/>
          <w:numId w:val="0"/>
        </w:numPr>
        <w:spacing w:line="360" w:lineRule="auto"/>
        <w:ind w:leftChars="0" w:firstLine="420" w:firstLineChars="200"/>
        <w:outlineLvl w:val="1"/>
        <w:rPr>
          <w:rFonts w:hint="default" w:ascii="Times New Roman" w:hAnsi="Times New Roman" w:eastAsia="黑体" w:cs="Times New Roman"/>
        </w:rPr>
      </w:pPr>
      <w:r>
        <w:rPr>
          <w:rFonts w:hint="default" w:ascii="Times New Roman" w:hAnsi="Times New Roman" w:eastAsia="黑体" w:cs="Times New Roman"/>
        </w:rPr>
        <w:t xml:space="preserve">温室气体排放因子 </w:t>
      </w:r>
      <w:r>
        <w:rPr>
          <w:rFonts w:hint="eastAsia" w:ascii="Times New Roman" w:eastAsia="黑体" w:cs="Times New Roman"/>
          <w:lang w:val="en-US" w:eastAsia="zh-CN"/>
        </w:rPr>
        <w:t xml:space="preserve">GHG </w:t>
      </w:r>
      <w:r>
        <w:rPr>
          <w:rFonts w:hint="default" w:ascii="黑体" w:hAnsi="黑体" w:eastAsia="黑体" w:cs="黑体"/>
        </w:rPr>
        <w:t>emission factor</w:t>
      </w:r>
      <w:bookmarkEnd w:id="98"/>
      <w:bookmarkEnd w:id="99"/>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表征单位生产或消费活动量的二氧化碳排放的系数。</w:t>
      </w:r>
    </w:p>
    <w:bookmarkEnd w:id="15"/>
    <w:bookmarkEnd w:id="37"/>
    <w:p>
      <w:pPr>
        <w:pStyle w:val="110"/>
        <w:spacing w:before="312" w:after="312"/>
        <w:rPr>
          <w:rFonts w:hint="default" w:hAnsi="Times New Roman" w:cs="Times New Roman"/>
        </w:rPr>
      </w:pPr>
      <w:bookmarkStart w:id="100" w:name="_Toc22946"/>
      <w:bookmarkStart w:id="101" w:name="_Toc17423"/>
      <w:bookmarkStart w:id="102" w:name="_Toc32569"/>
      <w:bookmarkStart w:id="103" w:name="BookMark8"/>
      <w:r>
        <w:rPr>
          <w:rFonts w:hint="default" w:hAnsi="Times New Roman" w:cs="Times New Roman"/>
        </w:rPr>
        <w:t>量化目的</w:t>
      </w:r>
      <w:bookmarkEnd w:id="100"/>
      <w:bookmarkStart w:id="104" w:name="OLE_LINK9"/>
    </w:p>
    <w:bookmarkEnd w:id="104"/>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szCs w:val="21"/>
        </w:rPr>
      </w:pPr>
      <w:bookmarkStart w:id="105" w:name="OLE_LINK50"/>
      <w:r>
        <w:rPr>
          <w:rFonts w:hint="default" w:ascii="Times New Roman" w:hAnsi="Times New Roman" w:cs="Times New Roman"/>
          <w:szCs w:val="21"/>
        </w:rPr>
        <w:t>依据本文件量化港口水工建筑物预制混凝土构件产品全生命周期或选定阶段的温室气体排放量，量化目的</w:t>
      </w:r>
      <w:r>
        <w:rPr>
          <w:rFonts w:hint="default" w:ascii="Times New Roman" w:hAnsi="Times New Roman" w:cs="Times New Roman"/>
          <w:szCs w:val="21"/>
          <w:lang w:val="en-US" w:eastAsia="zh-CN"/>
        </w:rPr>
        <w:t>应</w:t>
      </w:r>
      <w:r>
        <w:rPr>
          <w:rFonts w:hint="default" w:ascii="Times New Roman" w:hAnsi="Times New Roman" w:cs="Times New Roman"/>
          <w:szCs w:val="21"/>
        </w:rPr>
        <w:t>包括但不限于以下方面：</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a)评价港口水工建筑物预制混凝土构件生命周期内相关活动引起的温室气体排放；</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b)识别港口水工建筑物预制混凝土构件产品的关键排放环节，挖掘减排潜力；</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c)为港口水工建筑物预制混凝土构件产品碳足迹标识提供依据。</w:t>
      </w:r>
    </w:p>
    <w:bookmarkEnd w:id="105"/>
    <w:p>
      <w:pPr>
        <w:pStyle w:val="110"/>
        <w:spacing w:before="312" w:after="312"/>
        <w:rPr>
          <w:rFonts w:hint="default" w:hAnsi="Times New Roman" w:cs="Times New Roman"/>
        </w:rPr>
      </w:pPr>
      <w:bookmarkStart w:id="106" w:name="_Toc19657"/>
      <w:r>
        <w:rPr>
          <w:rFonts w:hint="default" w:hAnsi="Times New Roman" w:cs="Times New Roman"/>
        </w:rPr>
        <w:t>量化范围</w:t>
      </w:r>
      <w:bookmarkEnd w:id="106"/>
    </w:p>
    <w:p>
      <w:pPr>
        <w:pStyle w:val="111"/>
        <w:spacing w:before="156" w:after="156"/>
        <w:rPr>
          <w:rFonts w:hint="default" w:hAnsi="Times New Roman" w:cs="Times New Roman"/>
        </w:rPr>
      </w:pPr>
      <w:bookmarkStart w:id="107" w:name="_Toc4676"/>
      <w:bookmarkStart w:id="108" w:name="OLE_LINK10"/>
      <w:r>
        <w:rPr>
          <w:rFonts w:hint="default" w:hAnsi="Times New Roman" w:cs="Times New Roman"/>
        </w:rPr>
        <w:t>一般要求</w:t>
      </w:r>
      <w:bookmarkEnd w:id="107"/>
    </w:p>
    <w:bookmarkEnd w:id="108"/>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rPr>
      </w:pPr>
      <w:bookmarkStart w:id="109" w:name="OLE_LINK24"/>
      <w:bookmarkStart w:id="110" w:name="OLE_LINK11"/>
      <w:r>
        <w:rPr>
          <w:rFonts w:hint="default" w:ascii="Times New Roman" w:hAnsi="Times New Roman" w:cs="Times New Roman"/>
        </w:rPr>
        <w:t>在进行港口水工建筑物预制混凝土构件碳足迹的量化过程中，应明确说明</w:t>
      </w:r>
      <w:r>
        <w:rPr>
          <w:rFonts w:hint="default" w:ascii="Times New Roman" w:hAnsi="Times New Roman" w:cs="Times New Roman"/>
          <w:color w:val="auto"/>
        </w:rPr>
        <w:t>产品名称、产品定义、组分材料、强度等级、应用领域</w:t>
      </w:r>
      <w:r>
        <w:rPr>
          <w:rFonts w:hint="default" w:ascii="Times New Roman" w:hAnsi="Times New Roman" w:cs="Times New Roman"/>
        </w:rPr>
        <w:t>等情况。</w:t>
      </w:r>
    </w:p>
    <w:bookmarkEnd w:id="109"/>
    <w:p>
      <w:pPr>
        <w:pStyle w:val="111"/>
        <w:spacing w:before="156" w:after="156"/>
        <w:rPr>
          <w:rFonts w:hint="default" w:hAnsi="Times New Roman" w:cs="Times New Roman"/>
        </w:rPr>
      </w:pPr>
      <w:bookmarkStart w:id="111" w:name="_Toc13488"/>
      <w:r>
        <w:rPr>
          <w:rFonts w:hint="default" w:hAnsi="Times New Roman" w:cs="Times New Roman"/>
        </w:rPr>
        <w:t>功能单位</w:t>
      </w:r>
      <w:bookmarkEnd w:id="111"/>
    </w:p>
    <w:bookmarkEnd w:id="110"/>
    <w:p>
      <w:pPr>
        <w:pStyle w:val="62"/>
        <w:spacing w:line="360" w:lineRule="auto"/>
        <w:ind w:firstLine="420"/>
        <w:rPr>
          <w:rFonts w:hint="default" w:ascii="Times New Roman" w:hAnsi="Times New Roman" w:cs="Times New Roman"/>
          <w:highlight w:val="yellow"/>
        </w:rPr>
      </w:pPr>
      <w:bookmarkStart w:id="112" w:name="OLE_LINK20"/>
      <w:r>
        <w:rPr>
          <w:rFonts w:hint="default" w:ascii="Times New Roman" w:hAnsi="Times New Roman" w:cs="Times New Roman"/>
        </w:rPr>
        <w:t>港口水工建筑物预制混凝土构件</w:t>
      </w:r>
      <w:bookmarkEnd w:id="112"/>
      <w:r>
        <w:rPr>
          <w:rFonts w:hint="default" w:ascii="Times New Roman" w:hAnsi="Times New Roman" w:cs="Times New Roman"/>
        </w:rPr>
        <w:t>的产品碳足迹应以1m</w:t>
      </w:r>
      <w:r>
        <w:rPr>
          <w:rFonts w:hint="default" w:ascii="Times New Roman" w:hAnsi="Times New Roman" w:cs="Times New Roman"/>
          <w:vertAlign w:val="superscript"/>
        </w:rPr>
        <w:t>3</w:t>
      </w:r>
      <w:r>
        <w:rPr>
          <w:rFonts w:hint="default" w:ascii="Times New Roman" w:hAnsi="Times New Roman" w:cs="Times New Roman"/>
        </w:rPr>
        <w:t>为功能单位。</w:t>
      </w:r>
    </w:p>
    <w:p>
      <w:pPr>
        <w:pStyle w:val="111"/>
        <w:spacing w:before="156" w:after="156"/>
        <w:rPr>
          <w:rFonts w:hint="default" w:hAnsi="Times New Roman" w:cs="Times New Roman"/>
        </w:rPr>
      </w:pPr>
      <w:bookmarkStart w:id="113" w:name="_Toc17854"/>
      <w:bookmarkStart w:id="114" w:name="OLE_LINK12"/>
      <w:r>
        <w:rPr>
          <w:rFonts w:hint="default" w:hAnsi="Times New Roman" w:cs="Times New Roman"/>
        </w:rPr>
        <w:t>系统边界</w:t>
      </w:r>
      <w:bookmarkEnd w:id="113"/>
    </w:p>
    <w:bookmarkEnd w:id="114"/>
    <w:p>
      <w:pPr>
        <w:pStyle w:val="71"/>
        <w:keepNext w:val="0"/>
        <w:keepLines w:val="0"/>
        <w:pageBreakBefore w:val="0"/>
        <w:widowControl w:val="0"/>
        <w:kinsoku/>
        <w:wordWrap/>
        <w:overflowPunct/>
        <w:topLinePunct w:val="0"/>
        <w:autoSpaceDE/>
        <w:autoSpaceDN/>
        <w:bidi w:val="0"/>
        <w:adjustRightInd/>
        <w:snapToGrid/>
        <w:spacing w:before="120" w:after="120" w:line="240" w:lineRule="auto"/>
        <w:textAlignment w:val="auto"/>
        <w:rPr>
          <w:rFonts w:hint="default" w:ascii="Times New Roman" w:hAnsi="Times New Roman" w:eastAsia="宋体" w:cs="Times New Roman"/>
        </w:rPr>
      </w:pPr>
      <w:bookmarkStart w:id="115" w:name="_Toc30416"/>
      <w:bookmarkStart w:id="116" w:name="_Toc8771"/>
      <w:r>
        <w:rPr>
          <w:rFonts w:hint="default" w:ascii="Times New Roman" w:hAnsi="Times New Roman" w:eastAsia="宋体" w:cs="Times New Roman"/>
        </w:rPr>
        <w:t>港口水工建筑物预制混凝土构件产品碳足迹量化系统边界如图1所示，包括原材料获取阶段、生产制造阶段、施工阶段、生命末期阶段，各阶段应单独量化。</w:t>
      </w:r>
      <w:bookmarkEnd w:id="115"/>
    </w:p>
    <w:bookmarkEnd w:id="116"/>
    <w:p>
      <w:pPr>
        <w:pStyle w:val="62"/>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4794885" cy="3625850"/>
            <wp:effectExtent l="0" t="0" r="5715" b="0"/>
            <wp:docPr id="3" name="图片 3" descr="系统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系统图"/>
                    <pic:cNvPicPr>
                      <a:picLocks noChangeAspect="1"/>
                    </pic:cNvPicPr>
                  </pic:nvPicPr>
                  <pic:blipFill>
                    <a:blip r:embed="rId10"/>
                    <a:stretch>
                      <a:fillRect/>
                    </a:stretch>
                  </pic:blipFill>
                  <pic:spPr>
                    <a:xfrm>
                      <a:off x="0" y="0"/>
                      <a:ext cx="4794885" cy="3625850"/>
                    </a:xfrm>
                    <a:prstGeom prst="rect">
                      <a:avLst/>
                    </a:prstGeom>
                  </pic:spPr>
                </pic:pic>
              </a:graphicData>
            </a:graphic>
          </wp:inline>
        </w:drawing>
      </w:r>
    </w:p>
    <w:p>
      <w:pPr>
        <w:pStyle w:val="62"/>
        <w:keepNext w:val="0"/>
        <w:keepLines w:val="0"/>
        <w:pageBreakBefore w:val="0"/>
        <w:widowControl/>
        <w:kinsoku/>
        <w:wordWrap/>
        <w:overflowPunct/>
        <w:topLinePunct w:val="0"/>
        <w:autoSpaceDE w:val="0"/>
        <w:autoSpaceDN w:val="0"/>
        <w:bidi w:val="0"/>
        <w:adjustRightInd/>
        <w:snapToGrid/>
        <w:spacing w:before="0" w:beforeLines="50"/>
        <w:ind w:firstLine="0" w:firstLineChars="0"/>
        <w:jc w:val="center"/>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图1 </w:t>
      </w:r>
      <w:r>
        <w:rPr>
          <w:rFonts w:hint="default" w:ascii="Times New Roman" w:hAnsi="Times New Roman" w:eastAsia="宋体" w:cs="Times New Roman"/>
        </w:rPr>
        <w:t>港口水工建筑物预制混凝土构件</w:t>
      </w:r>
      <w:r>
        <w:rPr>
          <w:rFonts w:hint="default" w:ascii="Times New Roman" w:hAnsi="Times New Roman" w:cs="Times New Roman"/>
          <w:highlight w:val="none"/>
          <w:lang w:val="en-US" w:eastAsia="zh-CN"/>
        </w:rPr>
        <w:t>碳足迹系统边界图</w:t>
      </w:r>
    </w:p>
    <w:p>
      <w:pPr>
        <w:pStyle w:val="71"/>
        <w:keepNext w:val="0"/>
        <w:keepLines w:val="0"/>
        <w:pageBreakBefore w:val="0"/>
        <w:widowControl w:val="0"/>
        <w:kinsoku/>
        <w:wordWrap/>
        <w:overflowPunct/>
        <w:topLinePunct w:val="0"/>
        <w:autoSpaceDE/>
        <w:autoSpaceDN/>
        <w:bidi w:val="0"/>
        <w:adjustRightInd/>
        <w:snapToGrid/>
        <w:spacing w:before="120" w:after="120" w:line="240" w:lineRule="auto"/>
        <w:textAlignment w:val="auto"/>
        <w:rPr>
          <w:rFonts w:hint="default" w:ascii="Times New Roman" w:hAnsi="Times New Roman" w:eastAsia="宋体" w:cs="Times New Roman"/>
        </w:rPr>
      </w:pPr>
      <w:bookmarkStart w:id="117" w:name="_Toc3928"/>
      <w:bookmarkStart w:id="118" w:name="_Toc32072"/>
      <w:bookmarkStart w:id="119" w:name="OLE_LINK39"/>
      <w:r>
        <w:rPr>
          <w:rFonts w:hint="default" w:ascii="Times New Roman" w:hAnsi="Times New Roman" w:eastAsia="宋体" w:cs="Times New Roman"/>
          <w:lang w:val="en-US" w:eastAsia="zh-CN"/>
        </w:rPr>
        <w:t>量化活动</w:t>
      </w:r>
      <w:r>
        <w:rPr>
          <w:rFonts w:hint="default" w:ascii="Times New Roman" w:hAnsi="Times New Roman" w:eastAsia="宋体" w:cs="Times New Roman"/>
        </w:rPr>
        <w:t>应包括各阶段汇总有显著贡献的所有温室气体排放量和清除量，不应包括任何形式的碳补偿。</w:t>
      </w:r>
      <w:bookmarkEnd w:id="117"/>
    </w:p>
    <w:p>
      <w:pPr>
        <w:pStyle w:val="71"/>
        <w:spacing w:before="120" w:after="120" w:line="360" w:lineRule="auto"/>
        <w:rPr>
          <w:rFonts w:hint="eastAsia" w:ascii="黑体" w:hAnsi="黑体" w:eastAsia="黑体" w:cs="黑体"/>
        </w:rPr>
      </w:pPr>
      <w:bookmarkStart w:id="120" w:name="_Toc31031"/>
      <w:r>
        <w:rPr>
          <w:rFonts w:hint="eastAsia" w:ascii="黑体" w:hAnsi="黑体" w:eastAsia="黑体" w:cs="黑体"/>
        </w:rPr>
        <w:t>原材料获取阶段</w:t>
      </w:r>
      <w:bookmarkEnd w:id="118"/>
      <w:bookmarkEnd w:id="120"/>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本阶段应</w:t>
      </w:r>
      <w:r>
        <w:rPr>
          <w:rFonts w:hint="default" w:ascii="Times New Roman" w:hAnsi="Times New Roman" w:cs="Times New Roman"/>
          <w:lang w:val="en-US" w:eastAsia="zh-CN"/>
        </w:rPr>
        <w:t>包括</w:t>
      </w:r>
      <w:r>
        <w:rPr>
          <w:rFonts w:hint="default" w:ascii="Times New Roman" w:hAnsi="Times New Roman" w:cs="Times New Roman"/>
        </w:rPr>
        <w:t>预制构件原材料的开采、上游生产、运输至加工厂的一系列环节，包括：</w:t>
      </w:r>
    </w:p>
    <w:p>
      <w:pPr>
        <w:pStyle w:val="180"/>
        <w:keepNext w:val="0"/>
        <w:keepLines w:val="0"/>
        <w:pageBreakBefore w:val="0"/>
        <w:widowControl/>
        <w:numPr>
          <w:ilvl w:val="255"/>
          <w:numId w:val="0"/>
        </w:numPr>
        <w:kinsoku/>
        <w:wordWrap/>
        <w:overflowPunct/>
        <w:topLinePunct w:val="0"/>
        <w:bidi w:val="0"/>
        <w:adjustRightInd/>
        <w:snapToGrid/>
        <w:spacing w:line="240" w:lineRule="auto"/>
        <w:ind w:left="420"/>
        <w:textAlignment w:val="auto"/>
        <w:rPr>
          <w:rFonts w:hint="default" w:ascii="Times New Roman" w:hAnsi="Times New Roman" w:cs="Times New Roman"/>
        </w:rPr>
      </w:pPr>
      <w:bookmarkStart w:id="121" w:name="OLE_LINK26"/>
      <w:bookmarkStart w:id="122" w:name="OLE_LINK22"/>
      <w:r>
        <w:rPr>
          <w:rFonts w:hint="default" w:ascii="Times New Roman" w:hAnsi="Times New Roman" w:cs="Times New Roman"/>
        </w:rPr>
        <w:t>a）</w:t>
      </w:r>
      <w:bookmarkEnd w:id="121"/>
      <w:r>
        <w:rPr>
          <w:rFonts w:hint="default" w:ascii="Times New Roman" w:hAnsi="Times New Roman" w:cs="Times New Roman"/>
        </w:rPr>
        <w:t>外购材料如钢筋</w:t>
      </w:r>
      <w:r>
        <w:rPr>
          <w:rFonts w:hint="default" w:ascii="Times New Roman" w:hAnsi="Times New Roman" w:cs="Times New Roman"/>
          <w:lang w:eastAsia="zh-CN"/>
        </w:rPr>
        <w:t>、</w:t>
      </w:r>
      <w:r>
        <w:rPr>
          <w:rFonts w:hint="default" w:ascii="Times New Roman" w:hAnsi="Times New Roman" w:cs="Times New Roman"/>
        </w:rPr>
        <w:t>水泥、粗骨料、细骨料和掺合料外加剂等的原料</w:t>
      </w:r>
      <w:r>
        <w:rPr>
          <w:rFonts w:hint="default" w:ascii="Times New Roman" w:hAnsi="Times New Roman" w:cs="Times New Roman"/>
          <w:lang w:val="en-US" w:eastAsia="zh-CN"/>
        </w:rPr>
        <w:t>获取</w:t>
      </w:r>
      <w:r>
        <w:rPr>
          <w:rFonts w:hint="default" w:ascii="Times New Roman" w:hAnsi="Times New Roman" w:cs="Times New Roman"/>
        </w:rPr>
        <w:t>和生产</w:t>
      </w:r>
      <w:r>
        <w:rPr>
          <w:rFonts w:hint="default" w:ascii="Times New Roman" w:hAnsi="Times New Roman" w:cs="Times New Roman"/>
          <w:lang w:val="en-US" w:eastAsia="zh-CN"/>
        </w:rPr>
        <w:t>过程</w:t>
      </w:r>
      <w:r>
        <w:rPr>
          <w:rFonts w:hint="default" w:ascii="Times New Roman" w:hAnsi="Times New Roman" w:cs="Times New Roman"/>
        </w:rPr>
        <w:t>；</w:t>
      </w:r>
    </w:p>
    <w:p>
      <w:pPr>
        <w:pStyle w:val="180"/>
        <w:keepNext w:val="0"/>
        <w:keepLines w:val="0"/>
        <w:pageBreakBefore w:val="0"/>
        <w:widowControl/>
        <w:numPr>
          <w:ilvl w:val="255"/>
          <w:numId w:val="0"/>
        </w:numPr>
        <w:kinsoku/>
        <w:wordWrap/>
        <w:overflowPunct/>
        <w:topLinePunct w:val="0"/>
        <w:bidi w:val="0"/>
        <w:adjustRightInd/>
        <w:snapToGrid/>
        <w:spacing w:line="240" w:lineRule="auto"/>
        <w:ind w:left="420"/>
        <w:textAlignment w:val="auto"/>
        <w:rPr>
          <w:rFonts w:hint="default" w:ascii="Times New Roman" w:hAnsi="Times New Roman" w:cs="Times New Roman"/>
        </w:rPr>
      </w:pPr>
      <w:bookmarkStart w:id="123" w:name="OLE_LINK29"/>
      <w:r>
        <w:rPr>
          <w:rFonts w:hint="default" w:ascii="Times New Roman" w:hAnsi="Times New Roman" w:cs="Times New Roman"/>
        </w:rPr>
        <w:t>b）</w:t>
      </w:r>
      <w:bookmarkEnd w:id="123"/>
      <w:r>
        <w:rPr>
          <w:rFonts w:hint="default" w:ascii="Times New Roman" w:hAnsi="Times New Roman" w:cs="Times New Roman"/>
        </w:rPr>
        <w:t>原材料、上游产品和燃料运输到生产企业大门的过程。</w:t>
      </w:r>
    </w:p>
    <w:bookmarkEnd w:id="122"/>
    <w:p>
      <w:pPr>
        <w:pStyle w:val="71"/>
        <w:spacing w:before="120" w:after="120" w:line="360" w:lineRule="auto"/>
        <w:rPr>
          <w:rFonts w:hint="default" w:ascii="黑体" w:hAnsi="黑体" w:eastAsia="黑体" w:cs="黑体"/>
        </w:rPr>
      </w:pPr>
      <w:bookmarkStart w:id="124" w:name="_Toc15654"/>
      <w:bookmarkStart w:id="125" w:name="_Toc3632"/>
      <w:bookmarkStart w:id="126" w:name="OLE_LINK23"/>
      <w:r>
        <w:rPr>
          <w:rFonts w:hint="default" w:ascii="黑体" w:hAnsi="黑体" w:eastAsia="黑体" w:cs="黑体"/>
        </w:rPr>
        <w:t>生产</w:t>
      </w:r>
      <w:r>
        <w:rPr>
          <w:rFonts w:hint="default" w:ascii="黑体" w:hAnsi="黑体" w:eastAsia="黑体" w:cs="黑体"/>
          <w:lang w:val="en-US" w:eastAsia="zh-CN"/>
        </w:rPr>
        <w:t>制造</w:t>
      </w:r>
      <w:r>
        <w:rPr>
          <w:rFonts w:hint="default" w:ascii="黑体" w:hAnsi="黑体" w:eastAsia="黑体" w:cs="黑体"/>
        </w:rPr>
        <w:t>阶段</w:t>
      </w:r>
      <w:bookmarkEnd w:id="124"/>
      <w:bookmarkEnd w:id="125"/>
      <w:bookmarkEnd w:id="126"/>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lang w:val="en-US" w:eastAsia="zh-CN"/>
        </w:rPr>
      </w:pPr>
      <w:bookmarkStart w:id="127" w:name="OLE_LINK27"/>
      <w:r>
        <w:rPr>
          <w:rFonts w:hint="default" w:ascii="Times New Roman" w:hAnsi="Times New Roman" w:cs="Times New Roman"/>
        </w:rPr>
        <w:t>本阶段</w:t>
      </w:r>
      <w:bookmarkEnd w:id="127"/>
      <w:r>
        <w:rPr>
          <w:rFonts w:hint="default" w:ascii="Times New Roman" w:hAnsi="Times New Roman" w:cs="Times New Roman"/>
          <w:lang w:val="en-US" w:eastAsia="zh-CN"/>
        </w:rPr>
        <w:t>应</w:t>
      </w:r>
      <w:r>
        <w:rPr>
          <w:rFonts w:hint="default" w:ascii="Times New Roman" w:hAnsi="Times New Roman" w:cs="Times New Roman"/>
        </w:rPr>
        <w:t>包括从外购材料进入工厂到最终预制构件离开工厂的全过程，</w:t>
      </w:r>
      <w:r>
        <w:rPr>
          <w:rFonts w:hint="default" w:ascii="Times New Roman" w:hAnsi="Times New Roman" w:cs="Times New Roman"/>
          <w:lang w:val="en-US" w:eastAsia="zh-CN"/>
        </w:rPr>
        <w:t>包括：</w:t>
      </w:r>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a）</w:t>
      </w:r>
      <w:r>
        <w:rPr>
          <w:rFonts w:hint="default" w:ascii="Times New Roman" w:hAnsi="Times New Roman" w:cs="Times New Roman"/>
          <w:lang w:val="en-US" w:eastAsia="zh-CN"/>
        </w:rPr>
        <w:t>原材料存储、模具制造、</w:t>
      </w:r>
      <w:r>
        <w:rPr>
          <w:rFonts w:hint="default" w:ascii="Times New Roman" w:hAnsi="Times New Roman" w:cs="Times New Roman"/>
        </w:rPr>
        <w:t>钢筋加工、混凝土</w:t>
      </w:r>
      <w:r>
        <w:rPr>
          <w:rFonts w:hint="default" w:ascii="Times New Roman" w:hAnsi="Times New Roman" w:cs="Times New Roman"/>
          <w:lang w:val="en-US" w:eastAsia="zh-CN"/>
        </w:rPr>
        <w:t>生产</w:t>
      </w:r>
      <w:r>
        <w:rPr>
          <w:rFonts w:hint="default" w:ascii="Times New Roman" w:hAnsi="Times New Roman" w:cs="Times New Roman"/>
          <w:lang w:eastAsia="zh-CN"/>
        </w:rPr>
        <w:t>、</w:t>
      </w:r>
      <w:r>
        <w:rPr>
          <w:rFonts w:hint="default" w:ascii="Times New Roman" w:hAnsi="Times New Roman" w:cs="Times New Roman"/>
          <w:lang w:val="en-US" w:eastAsia="zh-CN"/>
        </w:rPr>
        <w:t>构件</w:t>
      </w:r>
      <w:r>
        <w:rPr>
          <w:rFonts w:hint="default" w:ascii="Times New Roman" w:hAnsi="Times New Roman" w:cs="Times New Roman"/>
        </w:rPr>
        <w:t>成型</w:t>
      </w:r>
      <w:r>
        <w:rPr>
          <w:rFonts w:hint="default" w:ascii="Times New Roman" w:hAnsi="Times New Roman" w:cs="Times New Roman"/>
          <w:lang w:eastAsia="zh-CN"/>
        </w:rPr>
        <w:t>、</w:t>
      </w:r>
      <w:r>
        <w:rPr>
          <w:rFonts w:hint="default" w:ascii="Times New Roman" w:hAnsi="Times New Roman" w:cs="Times New Roman"/>
          <w:lang w:val="en-US" w:eastAsia="zh-CN"/>
        </w:rPr>
        <w:t>构件养护、预应力施工</w:t>
      </w:r>
      <w:r>
        <w:rPr>
          <w:rFonts w:hint="default" w:ascii="Times New Roman" w:hAnsi="Times New Roman" w:cs="Times New Roman"/>
        </w:rPr>
        <w:t>、</w:t>
      </w:r>
      <w:r>
        <w:rPr>
          <w:rFonts w:hint="default" w:ascii="Times New Roman" w:hAnsi="Times New Roman" w:cs="Times New Roman"/>
          <w:lang w:val="en-US" w:eastAsia="zh-CN"/>
        </w:rPr>
        <w:t>预应力孔道灌浆、焊接与调运堆存</w:t>
      </w:r>
      <w:r>
        <w:rPr>
          <w:rFonts w:hint="default" w:ascii="Times New Roman" w:hAnsi="Times New Roman" w:cs="Times New Roman"/>
        </w:rPr>
        <w:t>等</w:t>
      </w:r>
      <w:r>
        <w:rPr>
          <w:rFonts w:hint="default" w:ascii="Times New Roman" w:hAnsi="Times New Roman" w:cs="Times New Roman"/>
          <w:lang w:val="en-US" w:eastAsia="zh-CN"/>
        </w:rPr>
        <w:t>生产及场内运输</w:t>
      </w:r>
      <w:r>
        <w:rPr>
          <w:rFonts w:hint="default" w:ascii="Times New Roman" w:hAnsi="Times New Roman" w:cs="Times New Roman"/>
        </w:rPr>
        <w:t>过程；</w:t>
      </w:r>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b）</w:t>
      </w:r>
      <w:r>
        <w:rPr>
          <w:rFonts w:hint="default" w:ascii="Times New Roman" w:hAnsi="Times New Roman" w:cs="Times New Roman"/>
          <w:lang w:val="en-US" w:eastAsia="zh-CN"/>
        </w:rPr>
        <w:t>各环节所产生的废弃物处理及运输相关过程。</w:t>
      </w:r>
    </w:p>
    <w:p>
      <w:pPr>
        <w:pStyle w:val="71"/>
        <w:spacing w:before="120" w:after="120" w:line="360" w:lineRule="auto"/>
        <w:rPr>
          <w:rFonts w:hint="default" w:ascii="黑体" w:hAnsi="黑体" w:eastAsia="黑体" w:cs="黑体"/>
        </w:rPr>
      </w:pPr>
      <w:bookmarkStart w:id="128" w:name="_Toc22754"/>
      <w:bookmarkStart w:id="129" w:name="_Toc21246"/>
      <w:r>
        <w:rPr>
          <w:rFonts w:hint="default" w:ascii="黑体" w:hAnsi="黑体" w:eastAsia="黑体" w:cs="黑体"/>
        </w:rPr>
        <w:t>施工阶段</w:t>
      </w:r>
      <w:bookmarkEnd w:id="128"/>
      <w:bookmarkEnd w:id="129"/>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rPr>
      </w:pPr>
      <w:bookmarkStart w:id="130" w:name="OLE_LINK31"/>
      <w:bookmarkStart w:id="131" w:name="OLE_LINK28"/>
      <w:r>
        <w:rPr>
          <w:rFonts w:hint="default" w:ascii="Times New Roman" w:hAnsi="Times New Roman" w:cs="Times New Roman"/>
        </w:rPr>
        <w:t>本阶段</w:t>
      </w:r>
      <w:r>
        <w:rPr>
          <w:rFonts w:hint="default" w:ascii="Times New Roman" w:hAnsi="Times New Roman" w:cs="Times New Roman"/>
          <w:lang w:val="en-US" w:eastAsia="zh-CN"/>
        </w:rPr>
        <w:t>应</w:t>
      </w:r>
      <w:r>
        <w:rPr>
          <w:rFonts w:hint="default" w:ascii="Times New Roman" w:hAnsi="Times New Roman" w:cs="Times New Roman"/>
        </w:rPr>
        <w:t>包括：</w:t>
      </w:r>
    </w:p>
    <w:bookmarkEnd w:id="130"/>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lang w:eastAsia="zh-CN"/>
        </w:rPr>
      </w:pPr>
      <w:bookmarkStart w:id="132" w:name="OLE_LINK32"/>
      <w:r>
        <w:rPr>
          <w:rFonts w:hint="default" w:ascii="Times New Roman" w:hAnsi="Times New Roman" w:cs="Times New Roman"/>
        </w:rPr>
        <w:t>a）</w:t>
      </w:r>
      <w:bookmarkStart w:id="133" w:name="OLE_LINK30"/>
      <w:r>
        <w:rPr>
          <w:rFonts w:hint="default" w:ascii="Times New Roman" w:hAnsi="Times New Roman" w:cs="Times New Roman"/>
        </w:rPr>
        <w:t>预制构件产品</w:t>
      </w:r>
      <w:bookmarkEnd w:id="133"/>
      <w:r>
        <w:rPr>
          <w:rFonts w:hint="default" w:ascii="Times New Roman" w:hAnsi="Times New Roman" w:cs="Times New Roman"/>
        </w:rPr>
        <w:t>运输至安装施工现场的过程</w:t>
      </w:r>
      <w:r>
        <w:rPr>
          <w:rFonts w:hint="default" w:ascii="Times New Roman" w:hAnsi="Times New Roman" w:cs="Times New Roman"/>
          <w:lang w:eastAsia="zh-CN"/>
        </w:rPr>
        <w:t>；</w:t>
      </w:r>
    </w:p>
    <w:bookmarkEnd w:id="131"/>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b）预制构件产品在施工现场安装的过程。</w:t>
      </w:r>
    </w:p>
    <w:bookmarkEnd w:id="132"/>
    <w:p>
      <w:pPr>
        <w:pStyle w:val="71"/>
        <w:spacing w:before="120" w:after="120" w:line="360" w:lineRule="auto"/>
        <w:rPr>
          <w:rFonts w:hint="default" w:ascii="黑体" w:hAnsi="黑体" w:eastAsia="黑体" w:cs="黑体"/>
        </w:rPr>
      </w:pPr>
      <w:bookmarkStart w:id="134" w:name="_Toc17841"/>
      <w:bookmarkStart w:id="135" w:name="_Toc19077"/>
      <w:r>
        <w:rPr>
          <w:rFonts w:hint="default" w:ascii="黑体" w:hAnsi="黑体" w:eastAsia="黑体" w:cs="黑体"/>
        </w:rPr>
        <w:t>生命末期阶段</w:t>
      </w:r>
      <w:bookmarkEnd w:id="134"/>
      <w:bookmarkEnd w:id="135"/>
    </w:p>
    <w:bookmarkEnd w:id="119"/>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本阶段</w:t>
      </w:r>
      <w:r>
        <w:rPr>
          <w:rFonts w:hint="default" w:ascii="Times New Roman" w:hAnsi="Times New Roman" w:cs="Times New Roman"/>
          <w:lang w:val="en-US" w:eastAsia="zh-CN"/>
        </w:rPr>
        <w:t>应</w:t>
      </w:r>
      <w:r>
        <w:rPr>
          <w:rFonts w:hint="default" w:ascii="Times New Roman" w:hAnsi="Times New Roman" w:cs="Times New Roman"/>
        </w:rPr>
        <w:t>包括：</w:t>
      </w:r>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lang w:eastAsia="zh-CN"/>
        </w:rPr>
      </w:pPr>
      <w:r>
        <w:rPr>
          <w:rFonts w:hint="default" w:ascii="Times New Roman" w:hAnsi="Times New Roman" w:cs="Times New Roman"/>
        </w:rPr>
        <w:t>a）</w:t>
      </w:r>
      <w:bookmarkStart w:id="136" w:name="OLE_LINK33"/>
      <w:r>
        <w:rPr>
          <w:rFonts w:hint="default" w:ascii="Times New Roman" w:hAnsi="Times New Roman" w:cs="Times New Roman"/>
        </w:rPr>
        <w:t>预制构件产品的拆除</w:t>
      </w:r>
      <w:bookmarkEnd w:id="136"/>
      <w:r>
        <w:rPr>
          <w:rFonts w:hint="default" w:ascii="Times New Roman" w:hAnsi="Times New Roman" w:cs="Times New Roman"/>
          <w:lang w:eastAsia="zh-CN"/>
        </w:rPr>
        <w:t>；</w:t>
      </w:r>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lang w:eastAsia="zh-CN"/>
        </w:rPr>
      </w:pPr>
      <w:bookmarkStart w:id="137" w:name="OLE_LINK34"/>
      <w:r>
        <w:rPr>
          <w:rFonts w:hint="default" w:ascii="Times New Roman" w:hAnsi="Times New Roman" w:cs="Times New Roman"/>
        </w:rPr>
        <w:t>b）预制构件产品的运输</w:t>
      </w:r>
      <w:r>
        <w:rPr>
          <w:rFonts w:hint="default" w:ascii="Times New Roman" w:hAnsi="Times New Roman" w:cs="Times New Roman"/>
          <w:lang w:eastAsia="zh-CN"/>
        </w:rPr>
        <w:t>；</w:t>
      </w:r>
    </w:p>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lang w:eastAsia="zh-CN"/>
        </w:rPr>
      </w:pPr>
      <w:r>
        <w:rPr>
          <w:rFonts w:hint="default" w:ascii="Times New Roman" w:hAnsi="Times New Roman" w:cs="Times New Roman"/>
          <w:lang w:val="en-US" w:eastAsia="zh-CN"/>
        </w:rPr>
        <w:t>c</w:t>
      </w:r>
      <w:r>
        <w:rPr>
          <w:rFonts w:hint="default" w:ascii="Times New Roman" w:hAnsi="Times New Roman" w:cs="Times New Roman"/>
        </w:rPr>
        <w:t>）预制构件产品的</w:t>
      </w:r>
      <w:r>
        <w:rPr>
          <w:rFonts w:hint="default" w:ascii="Times New Roman" w:hAnsi="Times New Roman" w:cs="Times New Roman"/>
          <w:lang w:val="en-US" w:eastAsia="zh-CN"/>
        </w:rPr>
        <w:t>循环利用</w:t>
      </w:r>
      <w:r>
        <w:rPr>
          <w:rFonts w:hint="default" w:ascii="Times New Roman" w:hAnsi="Times New Roman" w:cs="Times New Roman"/>
          <w:lang w:eastAsia="zh-CN"/>
        </w:rPr>
        <w:t>；</w:t>
      </w:r>
    </w:p>
    <w:bookmarkEnd w:id="137"/>
    <w:p>
      <w:pPr>
        <w:pStyle w:val="62"/>
        <w:keepNext w:val="0"/>
        <w:keepLines w:val="0"/>
        <w:pageBreakBefore w:val="0"/>
        <w:widowControl/>
        <w:kinsoku/>
        <w:wordWrap/>
        <w:overflowPunct/>
        <w:topLinePunct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lang w:val="en-US" w:eastAsia="zh-CN"/>
        </w:rPr>
        <w:t>c</w:t>
      </w:r>
      <w:r>
        <w:rPr>
          <w:rFonts w:hint="default" w:ascii="Times New Roman" w:hAnsi="Times New Roman" w:cs="Times New Roman"/>
        </w:rPr>
        <w:t>）预制构件产品的废弃物处置。</w:t>
      </w:r>
    </w:p>
    <w:p>
      <w:pPr>
        <w:pStyle w:val="111"/>
        <w:spacing w:before="156" w:after="156"/>
        <w:rPr>
          <w:rFonts w:hint="default" w:hAnsi="Times New Roman" w:cs="Times New Roman"/>
        </w:rPr>
      </w:pPr>
      <w:bookmarkStart w:id="138" w:name="_Toc29892"/>
      <w:r>
        <w:rPr>
          <w:rFonts w:hint="default" w:hAnsi="Times New Roman" w:cs="Times New Roman"/>
        </w:rPr>
        <w:t>取舍准则</w:t>
      </w:r>
      <w:bookmarkEnd w:id="138"/>
    </w:p>
    <w:bookmarkEnd w:id="101"/>
    <w:bookmarkEnd w:id="102"/>
    <w:p>
      <w:pPr>
        <w:pStyle w:val="170"/>
        <w:keepNext w:val="0"/>
        <w:keepLines w:val="0"/>
        <w:pageBreakBefore w:val="0"/>
        <w:widowControl/>
        <w:numPr>
          <w:ilvl w:val="255"/>
          <w:numId w:val="0"/>
        </w:numPr>
        <w:kinsoku/>
        <w:wordWrap/>
        <w:overflowPunct/>
        <w:topLinePunct w:val="0"/>
        <w:autoSpaceDE/>
        <w:autoSpaceDN/>
        <w:bidi w:val="0"/>
        <w:adjustRightInd/>
        <w:snapToGrid/>
        <w:spacing w:line="240" w:lineRule="auto"/>
        <w:textAlignment w:val="auto"/>
        <w:rPr>
          <w:rFonts w:hint="default" w:ascii="Times New Roman" w:hAnsi="Times New Roman" w:cs="Times New Roman"/>
        </w:rPr>
      </w:pPr>
      <w:bookmarkStart w:id="139" w:name="_Toc4596"/>
      <w:bookmarkStart w:id="140" w:name="_Toc2673"/>
      <w:r>
        <w:rPr>
          <w:rFonts w:hint="eastAsia" w:ascii="黑体" w:hAnsi="黑体" w:eastAsia="黑体" w:cs="黑体"/>
        </w:rPr>
        <w:t>5.4.1</w:t>
      </w:r>
      <w:r>
        <w:rPr>
          <w:rFonts w:hint="default" w:ascii="Times New Roman" w:hAnsi="Times New Roman" w:cs="Times New Roman"/>
        </w:rPr>
        <w:t>　在港口水工建筑物预制混凝土构件产品碳足迹量化中，可舍弃产品碳足迹影响小于1%的环节，同类物料应按合计重量判断，所有舍弃的合计值不应超过产品碳足迹总量的5%。舍去部分应有书面数据记录并说明取舍原因。</w:t>
      </w:r>
    </w:p>
    <w:p>
      <w:pPr>
        <w:pStyle w:val="170"/>
        <w:keepNext w:val="0"/>
        <w:keepLines w:val="0"/>
        <w:pageBreakBefore w:val="0"/>
        <w:widowControl/>
        <w:numPr>
          <w:ilvl w:val="255"/>
          <w:numId w:val="0"/>
        </w:numPr>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eastAsia" w:ascii="黑体" w:hAnsi="黑体" w:eastAsia="黑体" w:cs="黑体"/>
        </w:rPr>
        <w:t>5.4.2</w:t>
      </w:r>
      <w:r>
        <w:rPr>
          <w:rFonts w:hint="default" w:ascii="Times New Roman" w:hAnsi="Times New Roman" w:cs="Times New Roman"/>
        </w:rPr>
        <w:t>　外购材料的包材及生产过程可排除。</w:t>
      </w:r>
    </w:p>
    <w:p>
      <w:pPr>
        <w:pStyle w:val="170"/>
        <w:keepNext w:val="0"/>
        <w:keepLines w:val="0"/>
        <w:pageBreakBefore w:val="0"/>
        <w:widowControl/>
        <w:numPr>
          <w:ilvl w:val="255"/>
          <w:numId w:val="0"/>
        </w:numPr>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eastAsia" w:ascii="黑体" w:hAnsi="黑体" w:eastAsia="黑体" w:cs="黑体"/>
        </w:rPr>
        <w:t>5.4.3</w:t>
      </w:r>
      <w:r>
        <w:rPr>
          <w:rFonts w:hint="default" w:ascii="Times New Roman" w:hAnsi="Times New Roman" w:cs="Times New Roman"/>
        </w:rPr>
        <w:t>　产品生产过程中道路与厂房等基础设施、生产设备，厂区内人员办公及生活设施、产品在物流运输及销售过程中的基础设施（仓库、商店）、产品生产过程中的人体体能、通勤和差旅等过程所产生的温室气体排放可排除。</w:t>
      </w:r>
    </w:p>
    <w:p>
      <w:pPr>
        <w:pStyle w:val="110"/>
        <w:spacing w:before="312" w:after="312"/>
        <w:rPr>
          <w:rFonts w:hint="default" w:hAnsi="Times New Roman" w:cs="Times New Roman"/>
        </w:rPr>
      </w:pPr>
      <w:bookmarkStart w:id="141" w:name="_Toc20349"/>
      <w:r>
        <w:rPr>
          <w:rFonts w:hint="default" w:hAnsi="Times New Roman" w:cs="Times New Roman"/>
        </w:rPr>
        <w:t>生命周期清单分析</w:t>
      </w:r>
      <w:bookmarkEnd w:id="141"/>
    </w:p>
    <w:p>
      <w:pPr>
        <w:pStyle w:val="111"/>
        <w:spacing w:before="156" w:after="156"/>
        <w:rPr>
          <w:rFonts w:hint="default" w:hAnsi="Times New Roman" w:cs="Times New Roman"/>
        </w:rPr>
      </w:pPr>
      <w:bookmarkStart w:id="142" w:name="_Toc28196"/>
      <w:r>
        <w:rPr>
          <w:rFonts w:hint="default" w:hAnsi="Times New Roman" w:cs="Times New Roman"/>
        </w:rPr>
        <w:t>一般要求</w:t>
      </w:r>
      <w:bookmarkEnd w:id="142"/>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bookmarkStart w:id="143" w:name="OLE_LINK14"/>
      <w:r>
        <w:rPr>
          <w:rFonts w:hint="default" w:ascii="Times New Roman" w:hAnsi="Times New Roman" w:cs="Times New Roman"/>
        </w:rPr>
        <w:t>港口水工建筑物预制混凝土构件</w:t>
      </w:r>
      <w:bookmarkEnd w:id="143"/>
      <w:r>
        <w:rPr>
          <w:rFonts w:hint="default" w:ascii="Times New Roman" w:hAnsi="Times New Roman" w:cs="Times New Roman"/>
        </w:rPr>
        <w:t>碳足迹生命周期清单分析应包括以下步骤：</w:t>
      </w:r>
    </w:p>
    <w:p>
      <w:pPr>
        <w:pStyle w:val="62"/>
        <w:keepNext w:val="0"/>
        <w:keepLines w:val="0"/>
        <w:pageBreakBefore w:val="0"/>
        <w:widowControl/>
        <w:numPr>
          <w:ilvl w:val="0"/>
          <w:numId w:val="0"/>
        </w:numPr>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rPr>
        <w:t>a）数据收集；</w:t>
      </w:r>
    </w:p>
    <w:p>
      <w:pPr>
        <w:pStyle w:val="62"/>
        <w:keepNext w:val="0"/>
        <w:keepLines w:val="0"/>
        <w:pageBreakBefore w:val="0"/>
        <w:widowControl/>
        <w:numPr>
          <w:ilvl w:val="0"/>
          <w:numId w:val="0"/>
        </w:numPr>
        <w:kinsoku/>
        <w:wordWrap/>
        <w:overflowPunct/>
        <w:topLinePunct w:val="0"/>
        <w:autoSpaceDE w:val="0"/>
        <w:autoSpaceDN w:val="0"/>
        <w:bidi w:val="0"/>
        <w:adjustRightInd/>
        <w:snapToGrid/>
        <w:spacing w:line="240" w:lineRule="auto"/>
        <w:ind w:leftChars="200"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b</w:t>
      </w:r>
      <w:r>
        <w:rPr>
          <w:rFonts w:hint="default" w:ascii="Times New Roman" w:hAnsi="Times New Roman" w:cs="Times New Roman"/>
        </w:rPr>
        <w:t>）数据审定；</w:t>
      </w:r>
    </w:p>
    <w:p>
      <w:pPr>
        <w:pStyle w:val="62"/>
        <w:keepNext w:val="0"/>
        <w:keepLines w:val="0"/>
        <w:pageBreakBefore w:val="0"/>
        <w:widowControl/>
        <w:numPr>
          <w:ilvl w:val="0"/>
          <w:numId w:val="0"/>
        </w:numPr>
        <w:kinsoku/>
        <w:wordWrap/>
        <w:overflowPunct/>
        <w:topLinePunct w:val="0"/>
        <w:autoSpaceDE w:val="0"/>
        <w:autoSpaceDN w:val="0"/>
        <w:bidi w:val="0"/>
        <w:adjustRightInd/>
        <w:snapToGrid/>
        <w:spacing w:line="240" w:lineRule="auto"/>
        <w:ind w:leftChars="200"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c</w:t>
      </w:r>
      <w:r>
        <w:rPr>
          <w:rFonts w:hint="default" w:ascii="Times New Roman" w:hAnsi="Times New Roman" w:cs="Times New Roman"/>
        </w:rPr>
        <w:t>）数据分配；</w:t>
      </w:r>
    </w:p>
    <w:p>
      <w:pPr>
        <w:pStyle w:val="62"/>
        <w:keepNext w:val="0"/>
        <w:keepLines w:val="0"/>
        <w:pageBreakBefore w:val="0"/>
        <w:widowControl/>
        <w:numPr>
          <w:ilvl w:val="0"/>
          <w:numId w:val="0"/>
        </w:numPr>
        <w:kinsoku/>
        <w:wordWrap/>
        <w:overflowPunct/>
        <w:topLinePunct w:val="0"/>
        <w:autoSpaceDE w:val="0"/>
        <w:autoSpaceDN w:val="0"/>
        <w:bidi w:val="0"/>
        <w:adjustRightInd/>
        <w:snapToGrid/>
        <w:spacing w:line="240" w:lineRule="auto"/>
        <w:ind w:leftChars="200"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d</w:t>
      </w:r>
      <w:r>
        <w:rPr>
          <w:rFonts w:hint="default" w:ascii="Times New Roman" w:hAnsi="Times New Roman" w:cs="Times New Roman"/>
        </w:rPr>
        <w:t>）将数据关联到单元过程和功能单位。</w:t>
      </w:r>
    </w:p>
    <w:bookmarkEnd w:id="139"/>
    <w:bookmarkEnd w:id="140"/>
    <w:p>
      <w:pPr>
        <w:pStyle w:val="111"/>
        <w:spacing w:before="156" w:after="156"/>
        <w:rPr>
          <w:rFonts w:hint="default" w:hAnsi="Times New Roman" w:cs="Times New Roman"/>
        </w:rPr>
      </w:pPr>
      <w:bookmarkStart w:id="144" w:name="_Toc5163"/>
      <w:r>
        <w:rPr>
          <w:rFonts w:hint="default" w:hAnsi="Times New Roman" w:cs="Times New Roman"/>
        </w:rPr>
        <w:t>数据收集</w:t>
      </w:r>
      <w:bookmarkEnd w:id="144"/>
    </w:p>
    <w:p>
      <w:pPr>
        <w:pStyle w:val="71"/>
        <w:spacing w:before="120" w:after="120" w:line="360" w:lineRule="auto"/>
        <w:rPr>
          <w:rFonts w:hint="eastAsia" w:ascii="黑体" w:hAnsi="黑体" w:eastAsia="黑体" w:cs="黑体"/>
        </w:rPr>
      </w:pPr>
      <w:bookmarkStart w:id="145" w:name="_Toc12495"/>
      <w:bookmarkStart w:id="146" w:name="_Toc30185"/>
      <w:r>
        <w:rPr>
          <w:rFonts w:hint="eastAsia" w:ascii="黑体" w:hAnsi="黑体" w:eastAsia="黑体" w:cs="黑体"/>
        </w:rPr>
        <w:t>收集范围</w:t>
      </w:r>
      <w:bookmarkEnd w:id="145"/>
      <w:bookmarkEnd w:id="146"/>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textAlignment w:val="auto"/>
        <w:rPr>
          <w:rFonts w:hint="default" w:ascii="Times New Roman" w:hAnsi="Times New Roman" w:eastAsia="宋体" w:cs="Times New Roman"/>
          <w:lang w:val="en-US" w:eastAsia="zh-CN"/>
        </w:rPr>
      </w:pPr>
      <w:bookmarkStart w:id="147" w:name="_Toc12459"/>
      <w:r>
        <w:rPr>
          <w:rFonts w:hint="eastAsia" w:ascii="黑体" w:hAnsi="黑体" w:eastAsia="黑体" w:cs="黑体"/>
          <w:lang w:val="en-US" w:eastAsia="zh-CN"/>
        </w:rPr>
        <w:t>6.2.1.1</w:t>
      </w:r>
      <w:r>
        <w:rPr>
          <w:rFonts w:hint="default" w:ascii="Times New Roman" w:hAnsi="Times New Roman" w:eastAsia="宋体" w:cs="Times New Roman"/>
          <w:lang w:val="en-US" w:eastAsia="zh-CN"/>
        </w:rPr>
        <w:t>港口水工建筑物预制混凝土构件产品碳足迹量化收集数据包括初级数据和次级数据</w:t>
      </w:r>
      <w:r>
        <w:rPr>
          <w:rFonts w:hint="default" w:ascii="Times New Roman" w:hAnsi="Times New Roman" w:eastAsia="宋体" w:cs="Times New Roman"/>
          <w:highlight w:val="none"/>
          <w:lang w:val="en-US" w:eastAsia="zh-CN"/>
        </w:rPr>
        <w:t>，各阶段数据收集清单见附录A。</w:t>
      </w:r>
      <w:bookmarkEnd w:id="147"/>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textAlignment w:val="auto"/>
        <w:rPr>
          <w:rFonts w:hint="default" w:ascii="Times New Roman" w:hAnsi="Times New Roman" w:eastAsia="宋体" w:cs="Times New Roman"/>
          <w:lang w:val="en-US" w:eastAsia="zh-CN"/>
        </w:rPr>
      </w:pPr>
      <w:bookmarkStart w:id="148" w:name="_Toc27118"/>
      <w:bookmarkStart w:id="149" w:name="_Toc31236"/>
      <w:r>
        <w:rPr>
          <w:rFonts w:hint="default" w:ascii="黑体" w:hAnsi="黑体" w:eastAsia="黑体" w:cs="黑体"/>
          <w:lang w:val="en-US" w:eastAsia="zh-CN"/>
        </w:rPr>
        <w:t>6.2.1.2</w:t>
      </w:r>
      <w:r>
        <w:rPr>
          <w:rFonts w:hint="default" w:ascii="Times New Roman" w:hAnsi="Times New Roman" w:eastAsia="宋体" w:cs="Times New Roman"/>
          <w:lang w:val="en-US" w:eastAsia="zh-CN"/>
        </w:rPr>
        <w:t>原材料获取阶段应收集的数据包括：</w:t>
      </w:r>
      <w:bookmarkEnd w:id="148"/>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bookmarkStart w:id="150" w:name="_Toc9493"/>
      <w:r>
        <w:rPr>
          <w:rFonts w:hint="default" w:ascii="Times New Roman" w:hAnsi="Times New Roman" w:cs="Times New Roman"/>
        </w:rPr>
        <w:t>a）</w:t>
      </w:r>
      <w:r>
        <w:rPr>
          <w:rFonts w:hint="default" w:ascii="Times New Roman" w:hAnsi="Times New Roman" w:eastAsia="宋体" w:cs="Times New Roman"/>
          <w:lang w:val="en-US" w:eastAsia="zh-CN"/>
        </w:rPr>
        <w:t>外购材料应采集碳足迹数据，在没有碳足迹数据的情况下，则采集总重量、材料成分及配比数据和生产能耗，涉及气态原料时应记录体积参数；</w:t>
      </w:r>
      <w:bookmarkEnd w:id="150"/>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bookmarkStart w:id="151" w:name="_Toc19074"/>
      <w:r>
        <w:rPr>
          <w:rFonts w:hint="default" w:ascii="Times New Roman" w:hAnsi="Times New Roman" w:cs="Times New Roman"/>
          <w:lang w:val="en-US" w:eastAsia="zh-CN"/>
        </w:rPr>
        <w:t>b</w:t>
      </w:r>
      <w:r>
        <w:rPr>
          <w:rFonts w:hint="default" w:ascii="Times New Roman" w:hAnsi="Times New Roman" w:cs="Times New Roman"/>
        </w:rPr>
        <w:t>）</w:t>
      </w:r>
      <w:r>
        <w:rPr>
          <w:rFonts w:hint="default" w:ascii="Times New Roman" w:hAnsi="Times New Roman" w:eastAsia="宋体" w:cs="Times New Roman"/>
          <w:lang w:val="en-US" w:eastAsia="zh-CN"/>
        </w:rPr>
        <w:t>外购材料运输应记录运输方式、运输重量及运输距离。</w:t>
      </w:r>
      <w:bookmarkEnd w:id="151"/>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textAlignment w:val="auto"/>
        <w:rPr>
          <w:rFonts w:hint="default" w:ascii="Times New Roman" w:hAnsi="Times New Roman" w:eastAsia="宋体" w:cs="Times New Roman"/>
          <w:lang w:val="en-US" w:eastAsia="zh-CN"/>
        </w:rPr>
      </w:pPr>
      <w:bookmarkStart w:id="152" w:name="_Toc29314"/>
      <w:r>
        <w:rPr>
          <w:rFonts w:hint="default" w:ascii="黑体" w:hAnsi="黑体" w:eastAsia="黑体" w:cs="黑体"/>
          <w:lang w:val="en-US" w:eastAsia="zh-CN"/>
        </w:rPr>
        <w:t>6.2.1.3</w:t>
      </w:r>
      <w:r>
        <w:rPr>
          <w:rFonts w:hint="default" w:ascii="Times New Roman" w:hAnsi="Times New Roman" w:eastAsia="宋体" w:cs="Times New Roman"/>
          <w:lang w:val="en-US" w:eastAsia="zh-CN"/>
        </w:rPr>
        <w:t>生产制造阶段应收集的数据包括：</w:t>
      </w:r>
      <w:bookmarkEnd w:id="152"/>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bookmarkStart w:id="153" w:name="_Toc6872"/>
      <w:r>
        <w:rPr>
          <w:rFonts w:hint="default" w:ascii="Times New Roman" w:hAnsi="Times New Roman" w:cs="Times New Roman"/>
          <w:lang w:val="en-US" w:eastAsia="zh-CN"/>
        </w:rPr>
        <w:t>a</w:t>
      </w:r>
      <w:r>
        <w:rPr>
          <w:rFonts w:hint="default" w:ascii="Times New Roman" w:hAnsi="Times New Roman" w:cs="Times New Roman"/>
        </w:rPr>
        <w:t>）</w:t>
      </w:r>
      <w:r>
        <w:rPr>
          <w:rFonts w:hint="default" w:ascii="Times New Roman" w:hAnsi="Times New Roman" w:eastAsia="宋体" w:cs="Times New Roman"/>
          <w:lang w:val="en-US" w:eastAsia="zh-CN"/>
        </w:rPr>
        <w:t>各环节燃料消耗量</w:t>
      </w:r>
      <w:bookmarkStart w:id="154" w:name="OLE_LINK15"/>
      <w:r>
        <w:rPr>
          <w:rFonts w:hint="default" w:ascii="Times New Roman" w:hAnsi="Times New Roman" w:eastAsia="宋体" w:cs="Times New Roman"/>
          <w:lang w:val="en-US" w:eastAsia="zh-CN"/>
        </w:rPr>
        <w:t>、电力和蒸汽等二次能源用量</w:t>
      </w:r>
      <w:bookmarkEnd w:id="154"/>
      <w:r>
        <w:rPr>
          <w:rFonts w:hint="default" w:ascii="Times New Roman" w:hAnsi="Times New Roman" w:eastAsia="宋体" w:cs="Times New Roman"/>
          <w:lang w:val="en-US" w:eastAsia="zh-CN"/>
        </w:rPr>
        <w:t>；</w:t>
      </w:r>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b</w:t>
      </w:r>
      <w:r>
        <w:rPr>
          <w:rFonts w:hint="default" w:ascii="Times New Roman" w:hAnsi="Times New Roman" w:cs="Times New Roman"/>
        </w:rPr>
        <w:t>）</w:t>
      </w:r>
      <w:r>
        <w:rPr>
          <w:rFonts w:hint="default" w:ascii="Times New Roman" w:hAnsi="Times New Roman" w:eastAsia="宋体" w:cs="Times New Roman"/>
          <w:lang w:val="en-US" w:eastAsia="zh-CN"/>
        </w:rPr>
        <w:t>各环节废弃物产生量、挥发性有机物排放量、废气处理系统能耗及废水处理系统能耗</w:t>
      </w:r>
      <w:bookmarkEnd w:id="153"/>
      <w:r>
        <w:rPr>
          <w:rFonts w:hint="default" w:ascii="Times New Roman" w:hAnsi="Times New Roman" w:eastAsia="宋体" w:cs="Times New Roman"/>
          <w:lang w:val="en-US" w:eastAsia="zh-CN"/>
        </w:rPr>
        <w:t>。</w:t>
      </w:r>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textAlignment w:val="auto"/>
        <w:rPr>
          <w:rFonts w:hint="default" w:ascii="Times New Roman" w:hAnsi="Times New Roman" w:eastAsia="宋体" w:cs="Times New Roman"/>
          <w:lang w:val="en-US" w:eastAsia="zh-CN"/>
        </w:rPr>
      </w:pPr>
      <w:bookmarkStart w:id="155" w:name="_Toc17731"/>
      <w:r>
        <w:rPr>
          <w:rFonts w:hint="default" w:ascii="黑体" w:hAnsi="黑体" w:eastAsia="黑体" w:cs="黑体"/>
          <w:lang w:val="en-US" w:eastAsia="zh-CN"/>
        </w:rPr>
        <w:t>6.2.1.4</w:t>
      </w:r>
      <w:r>
        <w:rPr>
          <w:rFonts w:hint="default" w:ascii="Times New Roman" w:hAnsi="Times New Roman" w:eastAsia="宋体" w:cs="Times New Roman"/>
          <w:lang w:val="en-US" w:eastAsia="zh-CN"/>
        </w:rPr>
        <w:t>施工阶段应收集的数据包括：</w:t>
      </w:r>
      <w:bookmarkEnd w:id="155"/>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a</w:t>
      </w:r>
      <w:r>
        <w:rPr>
          <w:rFonts w:hint="default" w:ascii="Times New Roman" w:hAnsi="Times New Roman" w:cs="Times New Roman"/>
        </w:rPr>
        <w:t>）</w:t>
      </w:r>
      <w:r>
        <w:rPr>
          <w:rFonts w:hint="default" w:ascii="Times New Roman" w:hAnsi="Times New Roman" w:eastAsia="宋体" w:cs="Times New Roman"/>
          <w:lang w:val="en-US" w:eastAsia="zh-CN"/>
        </w:rPr>
        <w:t>预制构件产品的运输方式、运输重量及运输距离。</w:t>
      </w:r>
    </w:p>
    <w:p>
      <w:pPr>
        <w:pStyle w:val="170"/>
        <w:keepNext w:val="0"/>
        <w:keepLines w:val="0"/>
        <w:pageBreakBefore w:val="0"/>
        <w:numPr>
          <w:ilvl w:val="255"/>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lang w:val="en-US"/>
        </w:rPr>
      </w:pPr>
      <w:bookmarkStart w:id="156" w:name="OLE_LINK17"/>
      <w:r>
        <w:rPr>
          <w:rFonts w:hint="default" w:ascii="Times New Roman" w:hAnsi="Times New Roman" w:cs="Times New Roman"/>
          <w:lang w:val="en-US" w:eastAsia="zh-CN"/>
        </w:rPr>
        <w:t>b</w:t>
      </w:r>
      <w:r>
        <w:rPr>
          <w:rFonts w:hint="default" w:ascii="Times New Roman" w:hAnsi="Times New Roman" w:cs="Times New Roman"/>
        </w:rPr>
        <w:t>）</w:t>
      </w:r>
      <w:bookmarkEnd w:id="156"/>
      <w:r>
        <w:rPr>
          <w:rFonts w:hint="default" w:ascii="Times New Roman" w:hAnsi="Times New Roman" w:eastAsia="宋体" w:cs="Times New Roman"/>
          <w:lang w:val="en-US" w:eastAsia="zh-CN"/>
        </w:rPr>
        <w:t>预制构件产品</w:t>
      </w:r>
      <w:r>
        <w:rPr>
          <w:rFonts w:hint="default" w:ascii="Times New Roman" w:hAnsi="Times New Roman" w:cs="Times New Roman"/>
          <w:lang w:val="en-US" w:eastAsia="zh-CN"/>
        </w:rPr>
        <w:t>施工过程的</w:t>
      </w:r>
      <w:r>
        <w:rPr>
          <w:rFonts w:hint="default" w:ascii="Times New Roman" w:hAnsi="Times New Roman" w:eastAsia="宋体" w:cs="Times New Roman"/>
          <w:lang w:val="en-US" w:eastAsia="zh-CN"/>
        </w:rPr>
        <w:t>燃料</w:t>
      </w:r>
      <w:r>
        <w:rPr>
          <w:rFonts w:hint="default" w:ascii="Times New Roman" w:hAnsi="Times New Roman" w:cs="Times New Roman"/>
          <w:lang w:val="en-US" w:eastAsia="zh-CN"/>
        </w:rPr>
        <w:t>和</w:t>
      </w:r>
      <w:r>
        <w:rPr>
          <w:rFonts w:hint="default" w:ascii="Times New Roman" w:hAnsi="Times New Roman" w:eastAsia="宋体" w:cs="Times New Roman"/>
          <w:lang w:val="en-US" w:eastAsia="zh-CN"/>
        </w:rPr>
        <w:t>电力</w:t>
      </w:r>
      <w:r>
        <w:rPr>
          <w:rFonts w:hint="default" w:ascii="Times New Roman" w:hAnsi="Times New Roman" w:cs="Times New Roman"/>
          <w:lang w:val="en-US" w:eastAsia="zh-CN"/>
        </w:rPr>
        <w:t>消耗量。</w:t>
      </w:r>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textAlignment w:val="auto"/>
        <w:rPr>
          <w:rFonts w:hint="default" w:ascii="Times New Roman" w:hAnsi="Times New Roman" w:eastAsia="宋体" w:cs="Times New Roman"/>
          <w:lang w:val="en-US" w:eastAsia="zh-CN"/>
        </w:rPr>
      </w:pPr>
      <w:bookmarkStart w:id="157" w:name="_Toc3693"/>
      <w:r>
        <w:rPr>
          <w:rFonts w:hint="default" w:ascii="黑体" w:hAnsi="黑体" w:eastAsia="黑体" w:cs="黑体"/>
          <w:lang w:val="en-US" w:eastAsia="zh-CN"/>
        </w:rPr>
        <w:t>6.2.1.5</w:t>
      </w:r>
      <w:r>
        <w:rPr>
          <w:rFonts w:hint="default" w:ascii="Times New Roman" w:hAnsi="Times New Roman" w:eastAsia="宋体" w:cs="Times New Roman"/>
          <w:lang w:val="en-US" w:eastAsia="zh-CN"/>
        </w:rPr>
        <w:t>生命末期阶段应收集的数据包括：</w:t>
      </w:r>
      <w:bookmarkEnd w:id="157"/>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bookmarkStart w:id="158" w:name="_Toc418"/>
      <w:r>
        <w:rPr>
          <w:rFonts w:hint="default" w:ascii="Times New Roman" w:hAnsi="Times New Roman" w:cs="Times New Roman"/>
          <w:lang w:val="en-US" w:eastAsia="zh-CN"/>
        </w:rPr>
        <w:t>a</w:t>
      </w:r>
      <w:r>
        <w:rPr>
          <w:rFonts w:hint="default" w:ascii="Times New Roman" w:hAnsi="Times New Roman" w:cs="Times New Roman"/>
        </w:rPr>
        <w:t>）</w:t>
      </w:r>
      <w:r>
        <w:rPr>
          <w:rFonts w:hint="default" w:ascii="Times New Roman" w:hAnsi="Times New Roman" w:eastAsia="宋体" w:cs="Times New Roman"/>
          <w:lang w:val="en-US" w:eastAsia="zh-CN"/>
        </w:rPr>
        <w:t>分解和废弃物运输的燃料和电力消耗量</w:t>
      </w:r>
      <w:bookmarkEnd w:id="158"/>
      <w:r>
        <w:rPr>
          <w:rFonts w:hint="default" w:ascii="Times New Roman" w:hAnsi="Times New Roman" w:eastAsia="宋体" w:cs="Times New Roman"/>
          <w:lang w:val="en-US" w:eastAsia="zh-CN"/>
        </w:rPr>
        <w:t>；</w:t>
      </w:r>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bookmarkStart w:id="159" w:name="_Toc1048"/>
      <w:r>
        <w:rPr>
          <w:rFonts w:hint="default" w:ascii="Times New Roman" w:hAnsi="Times New Roman" w:cs="Times New Roman"/>
          <w:lang w:val="en-US" w:eastAsia="zh-CN"/>
        </w:rPr>
        <w:t>b</w:t>
      </w:r>
      <w:r>
        <w:rPr>
          <w:rFonts w:hint="default" w:ascii="Times New Roman" w:hAnsi="Times New Roman" w:cs="Times New Roman"/>
        </w:rPr>
        <w:t>）</w:t>
      </w:r>
      <w:r>
        <w:rPr>
          <w:rFonts w:hint="default" w:ascii="Times New Roman" w:hAnsi="Times New Roman" w:eastAsia="宋体" w:cs="Times New Roman"/>
          <w:lang w:val="en-US" w:eastAsia="zh-CN"/>
        </w:rPr>
        <w:t>材料再利用产生的燃料和电力消耗量</w:t>
      </w:r>
      <w:bookmarkEnd w:id="159"/>
      <w:r>
        <w:rPr>
          <w:rFonts w:hint="default" w:ascii="Times New Roman" w:hAnsi="Times New Roman" w:eastAsia="宋体" w:cs="Times New Roman"/>
          <w:lang w:val="en-US" w:eastAsia="zh-CN"/>
        </w:rPr>
        <w:t>；</w:t>
      </w:r>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240" w:lineRule="auto"/>
        <w:ind w:leftChars="0" w:firstLine="420" w:firstLineChars="200"/>
        <w:textAlignment w:val="auto"/>
        <w:rPr>
          <w:rFonts w:hint="default" w:ascii="Times New Roman" w:hAnsi="Times New Roman" w:eastAsia="宋体" w:cs="Times New Roman"/>
          <w:lang w:val="en-US" w:eastAsia="zh-CN"/>
        </w:rPr>
      </w:pPr>
      <w:bookmarkStart w:id="160" w:name="_Toc20460"/>
      <w:r>
        <w:rPr>
          <w:rFonts w:hint="default" w:ascii="Times New Roman" w:hAnsi="Times New Roman" w:cs="Times New Roman"/>
          <w:lang w:val="en-US" w:eastAsia="zh-CN"/>
        </w:rPr>
        <w:t>c</w:t>
      </w:r>
      <w:r>
        <w:rPr>
          <w:rFonts w:hint="default" w:ascii="Times New Roman" w:hAnsi="Times New Roman" w:cs="Times New Roman"/>
        </w:rPr>
        <w:t>）</w:t>
      </w:r>
      <w:r>
        <w:rPr>
          <w:rFonts w:hint="default" w:ascii="Times New Roman" w:hAnsi="Times New Roman" w:eastAsia="宋体" w:cs="Times New Roman"/>
          <w:lang w:val="en-US" w:eastAsia="zh-CN"/>
        </w:rPr>
        <w:t>最终废弃处置的燃料和电力消耗量</w:t>
      </w:r>
      <w:bookmarkEnd w:id="160"/>
      <w:r>
        <w:rPr>
          <w:rFonts w:hint="default" w:ascii="Times New Roman" w:hAnsi="Times New Roman" w:eastAsia="宋体" w:cs="Times New Roman"/>
          <w:lang w:val="en-US" w:eastAsia="zh-CN"/>
        </w:rPr>
        <w:t>。</w:t>
      </w:r>
    </w:p>
    <w:bookmarkEnd w:id="149"/>
    <w:p>
      <w:pPr>
        <w:pStyle w:val="71"/>
        <w:spacing w:before="120" w:after="120" w:line="360" w:lineRule="auto"/>
        <w:rPr>
          <w:rFonts w:hint="eastAsia" w:ascii="黑体" w:hAnsi="黑体" w:eastAsia="黑体" w:cs="黑体"/>
        </w:rPr>
      </w:pPr>
      <w:bookmarkStart w:id="161" w:name="_Toc27033"/>
      <w:r>
        <w:rPr>
          <w:rFonts w:hint="eastAsia" w:hAnsi="黑体" w:cs="黑体"/>
          <w:lang w:val="en-US" w:eastAsia="zh-CN"/>
        </w:rPr>
        <w:t>数据质量要求</w:t>
      </w:r>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360" w:lineRule="auto"/>
        <w:ind w:leftChars="0"/>
        <w:textAlignment w:val="auto"/>
        <w:rPr>
          <w:rFonts w:hint="eastAsia" w:ascii="黑体" w:hAnsi="黑体" w:eastAsia="黑体" w:cs="黑体"/>
          <w:lang w:val="en-US" w:eastAsia="zh-CN"/>
        </w:rPr>
      </w:pPr>
      <w:r>
        <w:rPr>
          <w:rFonts w:hint="eastAsia" w:ascii="黑体" w:hAnsi="黑体" w:eastAsia="黑体" w:cs="黑体"/>
          <w:lang w:val="en-US" w:eastAsia="zh-CN"/>
        </w:rPr>
        <w:t>6.2.2.1初级数据质量要求</w:t>
      </w:r>
      <w:bookmarkEnd w:id="161"/>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rPr>
        <w:t>港口水工建筑物预制混凝土构件产品碳足迹核算中使用的初级数据应满足以下要求：</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rPr>
        <w:t>a)完整性。根据数据取舍准则的要求，收集产品原材料获取、生产</w:t>
      </w:r>
      <w:r>
        <w:rPr>
          <w:rFonts w:hint="default" w:ascii="Times New Roman" w:hAnsi="Times New Roman" w:cs="Times New Roman"/>
          <w:lang w:val="en-US" w:eastAsia="zh-CN"/>
        </w:rPr>
        <w:t>制造</w:t>
      </w:r>
      <w:r>
        <w:rPr>
          <w:rFonts w:hint="default" w:ascii="Times New Roman" w:hAnsi="Times New Roman" w:cs="Times New Roman"/>
        </w:rPr>
        <w:t>、</w:t>
      </w:r>
      <w:r>
        <w:rPr>
          <w:rFonts w:hint="default" w:ascii="Times New Roman" w:hAnsi="Times New Roman" w:cs="Times New Roman"/>
          <w:lang w:val="en-US" w:eastAsia="zh-CN"/>
        </w:rPr>
        <w:t>施工</w:t>
      </w:r>
      <w:r>
        <w:rPr>
          <w:rFonts w:hint="default" w:ascii="Times New Roman" w:hAnsi="Times New Roman" w:cs="Times New Roman"/>
        </w:rPr>
        <w:t>和生命末期各阶段所使用的原材料、能耗以及废弃物处理等过程的数据</w:t>
      </w:r>
      <w:r>
        <w:rPr>
          <w:rFonts w:hint="default" w:ascii="Times New Roman" w:hAnsi="Times New Roman" w:cs="Times New Roman"/>
          <w:lang w:eastAsia="zh-CN"/>
        </w:rPr>
        <w:t>，</w:t>
      </w:r>
      <w:r>
        <w:rPr>
          <w:rFonts w:hint="default" w:ascii="Times New Roman" w:hAnsi="Times New Roman" w:cs="Times New Roman"/>
          <w:lang w:val="en-US" w:eastAsia="zh-CN"/>
        </w:rPr>
        <w:t>宜覆盖企业一个自然年的数据</w:t>
      </w:r>
      <w:r>
        <w:rPr>
          <w:rFonts w:hint="default" w:ascii="Times New Roman" w:hAnsi="Times New Roman" w:cs="Times New Roman"/>
        </w:rPr>
        <w:t>；</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rPr>
        <w:t>b)准确性。初级数据中的能源、原材料消耗数据应来自实际</w:t>
      </w:r>
      <w:r>
        <w:rPr>
          <w:rFonts w:hint="default" w:ascii="Times New Roman" w:hAnsi="Times New Roman" w:cs="Times New Roman"/>
          <w:lang w:val="en-US" w:eastAsia="zh-CN"/>
        </w:rPr>
        <w:t>生产统计</w:t>
      </w:r>
      <w:r>
        <w:rPr>
          <w:rFonts w:hint="default" w:ascii="Times New Roman" w:hAnsi="Times New Roman" w:cs="Times New Roman"/>
        </w:rPr>
        <w:t>记录，</w:t>
      </w:r>
      <w:r>
        <w:rPr>
          <w:rFonts w:hint="default" w:ascii="Times New Roman" w:hAnsi="Times New Roman" w:cs="Times New Roman"/>
          <w:lang w:val="en-US" w:eastAsia="zh-CN"/>
        </w:rPr>
        <w:t>能源和</w:t>
      </w:r>
      <w:r>
        <w:rPr>
          <w:rFonts w:hint="default" w:ascii="Times New Roman" w:hAnsi="Times New Roman" w:cs="Times New Roman"/>
        </w:rPr>
        <w:t>原材料</w:t>
      </w:r>
      <w:r>
        <w:rPr>
          <w:rFonts w:hint="default" w:ascii="Times New Roman" w:hAnsi="Times New Roman" w:cs="Times New Roman"/>
          <w:lang w:val="en-US" w:eastAsia="zh-CN"/>
        </w:rPr>
        <w:t>数据</w:t>
      </w:r>
      <w:r>
        <w:rPr>
          <w:rFonts w:hint="default" w:ascii="Times New Roman" w:hAnsi="Times New Roman" w:cs="Times New Roman"/>
        </w:rPr>
        <w:t>数据优先来自上游供应商；碳排放数据优先选择碳核查报告。所有初级数据均应详细记录相关的数据来源和计算过程等；如遇到数据分配，则需采用合理的分配方法并做详细记录</w:t>
      </w:r>
      <w:r>
        <w:rPr>
          <w:rFonts w:hint="default" w:ascii="Times New Roman" w:hAnsi="Times New Roman" w:cs="Times New Roman"/>
          <w:lang w:eastAsia="zh-CN"/>
        </w:rPr>
        <w:t>。</w:t>
      </w:r>
      <w:r>
        <w:rPr>
          <w:rFonts w:hint="default" w:ascii="Times New Roman" w:hAnsi="Times New Roman" w:cs="Times New Roman"/>
        </w:rPr>
        <w:t>部分GWP数据参见附录B。</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lang w:val="en-US" w:eastAsia="zh-CN"/>
        </w:rPr>
        <w:t>c</w:t>
      </w:r>
      <w:r>
        <w:rPr>
          <w:rFonts w:hint="default" w:ascii="Times New Roman" w:hAnsi="Times New Roman" w:cs="Times New Roman"/>
        </w:rPr>
        <w:t>)一致性。</w:t>
      </w:r>
      <w:r>
        <w:rPr>
          <w:rFonts w:hint="default" w:ascii="Times New Roman" w:hAnsi="Times New Roman" w:cs="Times New Roman"/>
          <w:lang w:val="en-US" w:eastAsia="zh-CN"/>
        </w:rPr>
        <w:t>初级数据采集</w:t>
      </w:r>
      <w:r>
        <w:rPr>
          <w:rFonts w:hint="default" w:ascii="Times New Roman" w:hAnsi="Times New Roman" w:cs="Times New Roman"/>
        </w:rPr>
        <w:t>应保持相同的数据来源、统计口径、处理规则等。</w:t>
      </w:r>
    </w:p>
    <w:p>
      <w:pPr>
        <w:pStyle w:val="71"/>
        <w:keepNext w:val="0"/>
        <w:keepLines w:val="0"/>
        <w:pageBreakBefore w:val="0"/>
        <w:widowControl w:val="0"/>
        <w:numPr>
          <w:ilvl w:val="3"/>
          <w:numId w:val="0"/>
        </w:numPr>
        <w:kinsoku/>
        <w:wordWrap/>
        <w:overflowPunct/>
        <w:topLinePunct w:val="0"/>
        <w:autoSpaceDE/>
        <w:autoSpaceDN/>
        <w:bidi w:val="0"/>
        <w:adjustRightInd/>
        <w:snapToGrid/>
        <w:spacing w:beforeLines="0" w:afterLines="0" w:line="360" w:lineRule="auto"/>
        <w:ind w:leftChars="0"/>
        <w:textAlignment w:val="auto"/>
        <w:rPr>
          <w:rFonts w:hint="eastAsia" w:ascii="黑体" w:hAnsi="黑体" w:eastAsia="黑体" w:cs="黑体"/>
          <w:lang w:val="en-US" w:eastAsia="zh-CN"/>
        </w:rPr>
      </w:pPr>
      <w:r>
        <w:rPr>
          <w:rFonts w:hint="eastAsia" w:ascii="黑体" w:hAnsi="黑体" w:eastAsia="黑体" w:cs="黑体"/>
          <w:lang w:val="en-US" w:eastAsia="zh-CN"/>
        </w:rPr>
        <w:t>6.2.2.2次级数据质量要求</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rPr>
        <w:t>港口水工建筑物预制混凝土构件产品碳足迹核算中使用的次级数据应满足以下要求：</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rPr>
        <w:t>a)代表性。活动数据优先选择与评估产品系统的时间代表性、地理代表性、技术代表性相近的次级数据，其次选择近年代表国内及行业平均生产水平公开的生命周期评价数据，最后选择国外同类技术数据。排放因子应按照供应商碳足迹报告、权威数据库、同类产品环境声明报告等依次选取。</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lang w:eastAsia="zh-CN"/>
        </w:rPr>
      </w:pPr>
      <w:r>
        <w:rPr>
          <w:rFonts w:hint="default" w:ascii="Times New Roman" w:hAnsi="Times New Roman" w:cs="Times New Roman"/>
        </w:rPr>
        <w:t>b)完整性。需提供完整的次级数据信息。次级数据的系统边界应该从资源开采到这些原材料产品出厂为止</w:t>
      </w:r>
      <w:r>
        <w:rPr>
          <w:rFonts w:hint="default" w:ascii="Times New Roman" w:hAnsi="Times New Roman" w:cs="Times New Roman"/>
          <w:lang w:eastAsia="zh-CN"/>
        </w:rPr>
        <w:t>。</w:t>
      </w:r>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cs="Times New Roman"/>
        </w:rPr>
      </w:pPr>
      <w:r>
        <w:rPr>
          <w:rFonts w:hint="default" w:ascii="Times New Roman" w:hAnsi="Times New Roman" w:cs="Times New Roman"/>
          <w:lang w:val="en-US" w:eastAsia="zh-CN"/>
        </w:rPr>
        <w:t>c</w:t>
      </w:r>
      <w:r>
        <w:rPr>
          <w:rFonts w:hint="default" w:ascii="Times New Roman" w:hAnsi="Times New Roman" w:cs="Times New Roman"/>
        </w:rPr>
        <w:t>)一致性。对同类产品碳足迹的次级数据选择应保持一致。</w:t>
      </w:r>
    </w:p>
    <w:p>
      <w:pPr>
        <w:pStyle w:val="111"/>
        <w:spacing w:before="156" w:after="156"/>
        <w:rPr>
          <w:rFonts w:hint="default" w:hAnsi="Times New Roman" w:cs="Times New Roman"/>
        </w:rPr>
      </w:pPr>
      <w:bookmarkStart w:id="162" w:name="_Toc8459"/>
      <w:r>
        <w:rPr>
          <w:rFonts w:hint="default" w:hAnsi="Times New Roman" w:cs="Times New Roman"/>
        </w:rPr>
        <w:t>数据审定</w:t>
      </w:r>
      <w:bookmarkEnd w:id="162"/>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rPr>
      </w:pPr>
      <w:r>
        <w:rPr>
          <w:rFonts w:hint="default" w:ascii="Times New Roman" w:hAnsi="Times New Roman" w:cs="Times New Roman"/>
        </w:rPr>
        <w:t>收集的数据应经过严格的审定程序，通过物料平衡、能量平衡、历史数据或相近工艺</w:t>
      </w:r>
      <w:r>
        <w:rPr>
          <w:rFonts w:hint="default" w:ascii="Times New Roman" w:hAnsi="Times New Roman" w:cs="Times New Roman"/>
          <w:lang w:val="en-US" w:eastAsia="zh-CN"/>
        </w:rPr>
        <w:t>数据</w:t>
      </w:r>
      <w:r>
        <w:rPr>
          <w:rFonts w:hint="default" w:ascii="Times New Roman" w:hAnsi="Times New Roman" w:cs="Times New Roman"/>
        </w:rPr>
        <w:t>对比等方式，确保数据的准确性和合理性。</w:t>
      </w:r>
    </w:p>
    <w:p>
      <w:pPr>
        <w:pStyle w:val="111"/>
        <w:spacing w:before="156" w:after="156"/>
        <w:rPr>
          <w:rFonts w:hint="default" w:hAnsi="Times New Roman" w:cs="Times New Roman"/>
        </w:rPr>
      </w:pPr>
      <w:bookmarkStart w:id="163" w:name="_Toc14531"/>
      <w:r>
        <w:rPr>
          <w:rFonts w:hint="default" w:hAnsi="Times New Roman" w:cs="Times New Roman"/>
        </w:rPr>
        <w:t>数据分配</w:t>
      </w:r>
      <w:bookmarkEnd w:id="163"/>
    </w:p>
    <w:p>
      <w:pPr>
        <w:pStyle w:val="62"/>
        <w:keepNext w:val="0"/>
        <w:keepLines w:val="0"/>
        <w:pageBreakBefore w:val="0"/>
        <w:widowControl/>
        <w:kinsoku/>
        <w:wordWrap/>
        <w:overflowPunct/>
        <w:topLinePunct w:val="0"/>
        <w:autoSpaceDE w:val="0"/>
        <w:autoSpaceDN w:val="0"/>
        <w:bidi w:val="0"/>
        <w:adjustRightInd/>
        <w:snapToGrid/>
        <w:spacing w:line="240" w:lineRule="auto"/>
        <w:ind w:left="0" w:leftChars="0" w:firstLine="0" w:firstLineChars="0"/>
        <w:textAlignment w:val="auto"/>
        <w:rPr>
          <w:rFonts w:hint="default" w:ascii="Times New Roman" w:hAnsi="Times New Roman" w:cs="Times New Roman"/>
          <w:highlight w:val="none"/>
          <w:lang w:val="en-US" w:eastAsia="zh-CN"/>
        </w:rPr>
      </w:pPr>
      <w:r>
        <w:rPr>
          <w:rFonts w:hint="eastAsia" w:ascii="黑体" w:hAnsi="黑体" w:eastAsia="黑体" w:cs="黑体"/>
          <w:lang w:val="en-US" w:eastAsia="zh-CN"/>
        </w:rPr>
        <w:t xml:space="preserve">6.4.1 </w:t>
      </w:r>
      <w:r>
        <w:rPr>
          <w:rFonts w:hint="default" w:ascii="Times New Roman" w:hAnsi="Times New Roman" w:cs="Times New Roman"/>
          <w:lang w:val="en-US" w:eastAsia="zh-CN"/>
        </w:rPr>
        <w:t>生产工序的数据收集应避免数据分配。在无法避免分配的情况下，如果一个生产工序的单元过程涉及到两个及以上产品时，需要对单元过程的输入和输出进行分配，则考虑该过程使用的电力、天然气、柴油等能源按照各工序特定工况进行分</w:t>
      </w:r>
      <w:r>
        <w:rPr>
          <w:rFonts w:hint="default" w:ascii="Times New Roman" w:hAnsi="Times New Roman" w:cs="Times New Roman"/>
          <w:highlight w:val="none"/>
          <w:lang w:val="en-US" w:eastAsia="zh-CN"/>
        </w:rPr>
        <w:t>摊。</w:t>
      </w:r>
    </w:p>
    <w:p>
      <w:pPr>
        <w:pStyle w:val="62"/>
        <w:keepNext w:val="0"/>
        <w:keepLines w:val="0"/>
        <w:pageBreakBefore w:val="0"/>
        <w:widowControl/>
        <w:kinsoku/>
        <w:wordWrap/>
        <w:overflowPunct/>
        <w:topLinePunct w:val="0"/>
        <w:autoSpaceDE w:val="0"/>
        <w:autoSpaceDN w:val="0"/>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0"/>
          <w:highlight w:val="none"/>
          <w:lang w:eastAsia="zh-CN" w:bidi="ar"/>
        </w:rPr>
      </w:pPr>
      <w:r>
        <w:rPr>
          <w:rFonts w:hint="default" w:ascii="黑体" w:hAnsi="黑体" w:eastAsia="黑体" w:cs="黑体"/>
          <w:lang w:val="en-US" w:eastAsia="zh-CN"/>
        </w:rPr>
        <w:t>6.4.2</w:t>
      </w:r>
      <w:r>
        <w:rPr>
          <w:rFonts w:hint="eastAsia" w:ascii="黑体" w:hAnsi="黑体" w:eastAsia="黑体" w:cs="黑体"/>
          <w:lang w:val="en-US" w:eastAsia="zh-CN"/>
        </w:rPr>
        <w:t xml:space="preserve"> </w:t>
      </w:r>
      <w:r>
        <w:rPr>
          <w:rFonts w:hint="default" w:ascii="Times New Roman" w:hAnsi="Times New Roman" w:eastAsia="宋体" w:cs="Times New Roman"/>
          <w:color w:val="auto"/>
          <w:kern w:val="0"/>
          <w:highlight w:val="none"/>
          <w:lang w:bidi="ar"/>
        </w:rPr>
        <w:t>同一模具生产不同规格预制构件时，应按生产时间分配</w:t>
      </w:r>
      <w:r>
        <w:rPr>
          <w:rFonts w:hint="default" w:ascii="Times New Roman" w:hAnsi="Times New Roman" w:cs="Times New Roman"/>
          <w:color w:val="auto"/>
          <w:kern w:val="0"/>
          <w:highlight w:val="none"/>
          <w:lang w:eastAsia="zh-CN" w:bidi="ar"/>
        </w:rPr>
        <w:t>。</w:t>
      </w:r>
    </w:p>
    <w:p>
      <w:pPr>
        <w:pStyle w:val="62"/>
        <w:keepNext w:val="0"/>
        <w:keepLines w:val="0"/>
        <w:pageBreakBefore w:val="0"/>
        <w:widowControl/>
        <w:kinsoku/>
        <w:wordWrap/>
        <w:overflowPunct/>
        <w:topLinePunct w:val="0"/>
        <w:autoSpaceDE w:val="0"/>
        <w:autoSpaceDN w:val="0"/>
        <w:bidi w:val="0"/>
        <w:adjustRightInd/>
        <w:snapToGrid/>
        <w:spacing w:line="240" w:lineRule="auto"/>
        <w:ind w:left="0" w:leftChars="0" w:firstLine="0" w:firstLineChars="0"/>
        <w:textAlignment w:val="auto"/>
        <w:rPr>
          <w:rFonts w:hint="default" w:ascii="Times New Roman" w:hAnsi="Times New Roman" w:cs="Times New Roman"/>
        </w:rPr>
      </w:pPr>
      <w:r>
        <w:rPr>
          <w:rFonts w:hint="default" w:ascii="黑体" w:hAnsi="黑体" w:eastAsia="黑体" w:cs="黑体"/>
          <w:lang w:val="en-US" w:eastAsia="zh-CN"/>
        </w:rPr>
        <w:t>6.4.3</w:t>
      </w:r>
      <w:r>
        <w:rPr>
          <w:rFonts w:hint="eastAsia" w:ascii="黑体" w:hAnsi="黑体" w:eastAsia="黑体" w:cs="黑体"/>
          <w:lang w:val="en-US" w:eastAsia="zh-CN"/>
        </w:rPr>
        <w:t xml:space="preserve"> </w:t>
      </w:r>
      <w:r>
        <w:rPr>
          <w:rFonts w:hint="default" w:ascii="Times New Roman" w:hAnsi="Times New Roman" w:eastAsia="宋体" w:cs="Times New Roman"/>
          <w:color w:val="auto"/>
          <w:kern w:val="0"/>
          <w:highlight w:val="none"/>
          <w:lang w:bidi="ar"/>
        </w:rPr>
        <w:t>运输多件预制构件时，应按重量比例</w:t>
      </w:r>
      <w:r>
        <w:rPr>
          <w:rFonts w:hint="default" w:ascii="Times New Roman" w:hAnsi="Times New Roman" w:cs="Times New Roman"/>
        </w:rPr>
        <w:t>对运输产生的温室气体排放进行分配。</w:t>
      </w:r>
    </w:p>
    <w:p>
      <w:pPr>
        <w:pStyle w:val="110"/>
        <w:spacing w:before="312" w:after="312"/>
        <w:rPr>
          <w:rFonts w:hint="default" w:hAnsi="Times New Roman" w:cs="Times New Roman"/>
        </w:rPr>
      </w:pPr>
      <w:bookmarkStart w:id="164" w:name="_Toc10960"/>
      <w:bookmarkStart w:id="165" w:name="_Toc10062"/>
      <w:bookmarkStart w:id="166" w:name="_Toc32175"/>
      <w:bookmarkStart w:id="167" w:name="_Toc18469"/>
      <w:r>
        <w:rPr>
          <w:rFonts w:hint="default" w:hAnsi="Times New Roman" w:cs="Times New Roman"/>
        </w:rPr>
        <w:t>产品碳足迹</w:t>
      </w:r>
      <w:bookmarkEnd w:id="164"/>
      <w:bookmarkEnd w:id="165"/>
      <w:bookmarkEnd w:id="166"/>
      <w:r>
        <w:rPr>
          <w:rFonts w:hint="default" w:hAnsi="Times New Roman" w:cs="Times New Roman"/>
        </w:rPr>
        <w:t>影响评价</w:t>
      </w:r>
      <w:bookmarkEnd w:id="167"/>
    </w:p>
    <w:p>
      <w:pPr>
        <w:pStyle w:val="111"/>
        <w:spacing w:before="156" w:after="156"/>
        <w:rPr>
          <w:rFonts w:hint="default" w:hAnsi="Times New Roman" w:cs="Times New Roman"/>
        </w:rPr>
      </w:pPr>
      <w:bookmarkStart w:id="168" w:name="_Toc9295"/>
      <w:r>
        <w:rPr>
          <w:rFonts w:hint="default" w:hAnsi="Times New Roman" w:cs="Times New Roman"/>
        </w:rPr>
        <w:t>产品碳足迹计算方法</w:t>
      </w:r>
      <w:bookmarkEnd w:id="168"/>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eastAsia" w:ascii="Times New Roman" w:hAnsi="Times New Roman" w:eastAsia="宋体" w:cs="Times New Roman"/>
          <w:szCs w:val="21"/>
          <w:lang w:eastAsia="zh-CN"/>
        </w:rPr>
      </w:pPr>
      <w:bookmarkStart w:id="169" w:name="OLE_LINK18"/>
      <w:bookmarkStart w:id="170" w:name="OLE_LINK19"/>
      <w:r>
        <w:rPr>
          <w:rFonts w:hint="default" w:ascii="Times New Roman" w:hAnsi="Times New Roman" w:cs="Times New Roman"/>
          <w:lang w:val="en-US" w:eastAsia="zh-CN"/>
        </w:rPr>
        <w:t>港</w:t>
      </w:r>
      <w:r>
        <w:rPr>
          <w:rFonts w:hint="default" w:ascii="Times New Roman" w:hAnsi="Times New Roman" w:cs="Times New Roman"/>
        </w:rPr>
        <w:t>口水工建筑物预制混凝土构件</w:t>
      </w:r>
      <w:bookmarkEnd w:id="169"/>
      <w:r>
        <w:rPr>
          <w:rFonts w:hint="default" w:ascii="Times New Roman" w:hAnsi="Times New Roman" w:cs="Times New Roman"/>
          <w:szCs w:val="21"/>
        </w:rPr>
        <w:t>产品碳足迹核算</w:t>
      </w:r>
      <w:r>
        <w:rPr>
          <w:rFonts w:hint="default" w:ascii="Times New Roman" w:hAnsi="Times New Roman" w:cs="Times New Roman"/>
          <w:szCs w:val="21"/>
          <w:lang w:val="en-US" w:eastAsia="zh-CN"/>
        </w:rPr>
        <w:t>应包含原材料获取阶段、生产制造阶段、施工阶段与生命末期阶段碳排放之和</w:t>
      </w:r>
      <w:bookmarkEnd w:id="170"/>
      <w:r>
        <w:rPr>
          <w:rFonts w:hint="default" w:ascii="Times New Roman" w:hAnsi="Times New Roman" w:cs="Times New Roman"/>
          <w:szCs w:val="21"/>
        </w:rPr>
        <w:t>，</w:t>
      </w:r>
      <w:r>
        <w:rPr>
          <w:rFonts w:hint="eastAsia" w:ascii="Times New Roman" w:cs="Times New Roman"/>
          <w:szCs w:val="21"/>
          <w:lang w:val="en-US" w:eastAsia="zh-CN"/>
        </w:rPr>
        <w:t>见公式（1）。</w:t>
      </w:r>
    </w:p>
    <w:p>
      <w:pPr>
        <w:spacing w:before="120" w:beforeLines="50" w:after="120" w:afterLines="50" w:line="360" w:lineRule="auto"/>
        <w:ind w:firstLine="1600" w:firstLineChars="800"/>
        <w:jc w:val="center"/>
        <w:rPr>
          <w:rFonts w:hint="default" w:ascii="Times New Roman" w:hAnsi="Times New Roman" w:eastAsia="宋体" w:cs="Times New Roman"/>
          <w:i/>
          <w:color w:val="000000" w:themeColor="text1"/>
          <w:sz w:val="20"/>
          <w:szCs w:val="24"/>
          <w:lang w:val="en-US" w:eastAsia="zh-CN"/>
          <w14:textFill>
            <w14:solidFill>
              <w14:schemeClr w14:val="tx1"/>
            </w14:solidFill>
          </w14:textFill>
        </w:rPr>
      </w:pPr>
      <m:oMath>
        <m:r>
          <m:rPr/>
          <w:rPr>
            <w:rFonts w:hint="default" w:ascii="Cambria Math" w:hAnsi="Cambria Math" w:cs="Times New Roman"/>
            <w:color w:val="000000" w:themeColor="text1"/>
            <w:sz w:val="20"/>
            <w:szCs w:val="24"/>
            <w14:textFill>
              <w14:solidFill>
                <w14:schemeClr w14:val="tx1"/>
              </w14:solidFill>
            </w14:textFill>
          </w:rPr>
          <m:t>CFP=</m:t>
        </m:r>
        <m:r>
          <m:rPr>
            <m:sty m:val="p"/>
          </m:rPr>
          <w:rPr>
            <w:rFonts w:hint="default" w:ascii="Cambria Math" w:hAnsi="Cambria Math" w:cs="Times New Roman"/>
            <w:color w:val="000000" w:themeColor="text1"/>
            <w:sz w:val="20"/>
            <w:szCs w:val="24"/>
            <w:lang w:eastAsia="zh-CN"/>
            <w14:textFill>
              <w14:solidFill>
                <w14:schemeClr w14:val="tx1"/>
              </w14:solidFill>
            </w14:textFill>
          </w:rPr>
          <m:t>（</m:t>
        </m:r>
        <m:sSub>
          <m:sSubPr>
            <m:ctrlPr>
              <w:rPr>
                <w:rFonts w:hint="default" w:ascii="Cambria Math" w:hAnsi="Cambria Math" w:cs="Times New Roman"/>
                <w:i/>
                <w:color w:val="000000" w:themeColor="text1"/>
                <w:sz w:val="20"/>
                <w:szCs w:val="24"/>
                <w14:textFill>
                  <w14:solidFill>
                    <w14:schemeClr w14:val="tx1"/>
                  </w14:solidFill>
                </w14:textFill>
              </w:rPr>
            </m:ctrlPr>
          </m:sSubPr>
          <m:e>
            <m:r>
              <m:rPr/>
              <w:rPr>
                <w:rFonts w:hint="default" w:ascii="Cambria Math" w:hAnsi="Cambria Math" w:cs="Times New Roman"/>
                <w:color w:val="000000" w:themeColor="text1"/>
                <w:sz w:val="20"/>
                <w:szCs w:val="24"/>
                <w14:textFill>
                  <w14:solidFill>
                    <w14:schemeClr w14:val="tx1"/>
                  </w14:solidFill>
                </w14:textFill>
              </w:rPr>
              <m:t>C</m:t>
            </m:r>
            <m:ctrlPr>
              <w:rPr>
                <w:rFonts w:hint="default" w:ascii="Cambria Math" w:hAnsi="Cambria Math" w:cs="Times New Roman"/>
                <w:i/>
                <w:color w:val="000000" w:themeColor="text1"/>
                <w:sz w:val="20"/>
                <w:szCs w:val="24"/>
                <w14:textFill>
                  <w14:solidFill>
                    <w14:schemeClr w14:val="tx1"/>
                  </w14:solidFill>
                </w14:textFill>
              </w:rPr>
            </m:ctrlPr>
          </m:e>
          <m:sub>
            <m:r>
              <m:rPr>
                <m:sty m:val="p"/>
              </m:rPr>
              <w:rPr>
                <w:rFonts w:hint="default" w:ascii="Cambria Math" w:hAnsi="Cambria Math" w:cs="Times New Roman"/>
                <w:color w:val="000000" w:themeColor="text1"/>
                <w:sz w:val="20"/>
                <w:szCs w:val="20"/>
                <w14:textFill>
                  <w14:solidFill>
                    <w14:schemeClr w14:val="tx1"/>
                  </w14:solidFill>
                </w14:textFill>
              </w:rPr>
              <m:t>CL</m:t>
            </m:r>
            <m:ctrlPr>
              <w:rPr>
                <w:rFonts w:hint="default" w:ascii="Cambria Math" w:hAnsi="Cambria Math" w:cs="Times New Roman"/>
                <w:i/>
                <w:color w:val="000000" w:themeColor="text1"/>
                <w:sz w:val="20"/>
                <w:szCs w:val="24"/>
                <w14:textFill>
                  <w14:solidFill>
                    <w14:schemeClr w14:val="tx1"/>
                  </w14:solidFill>
                </w14:textFill>
              </w:rPr>
            </m:ctrlPr>
          </m:sub>
        </m:sSub>
        <m:r>
          <m:rPr/>
          <w:rPr>
            <w:rFonts w:hint="default" w:ascii="Cambria Math" w:hAnsi="Cambria Math" w:cs="Times New Roman"/>
            <w:color w:val="000000" w:themeColor="text1"/>
            <w:sz w:val="20"/>
            <w:szCs w:val="24"/>
            <w14:textFill>
              <w14:solidFill>
                <w14:schemeClr w14:val="tx1"/>
              </w14:solidFill>
            </w14:textFill>
          </w:rPr>
          <m:t>+</m:t>
        </m:r>
        <m:sSub>
          <m:sSubPr>
            <m:ctrlPr>
              <w:rPr>
                <w:rFonts w:hint="default" w:ascii="Cambria Math" w:hAnsi="Cambria Math" w:cs="Times New Roman"/>
                <w:i/>
                <w:color w:val="000000" w:themeColor="text1"/>
                <w:sz w:val="20"/>
                <w:szCs w:val="24"/>
                <w14:textFill>
                  <w14:solidFill>
                    <w14:schemeClr w14:val="tx1"/>
                  </w14:solidFill>
                </w14:textFill>
              </w:rPr>
            </m:ctrlPr>
          </m:sSubPr>
          <m:e>
            <m:r>
              <m:rPr/>
              <w:rPr>
                <w:rFonts w:hint="default" w:ascii="Cambria Math" w:hAnsi="Cambria Math" w:cs="Times New Roman"/>
                <w:color w:val="000000" w:themeColor="text1"/>
                <w:sz w:val="20"/>
                <w:szCs w:val="24"/>
                <w14:textFill>
                  <w14:solidFill>
                    <w14:schemeClr w14:val="tx1"/>
                  </w14:solidFill>
                </w14:textFill>
              </w:rPr>
              <m:t>C</m:t>
            </m:r>
            <m:ctrlPr>
              <w:rPr>
                <w:rFonts w:hint="default" w:ascii="Cambria Math" w:hAnsi="Cambria Math" w:cs="Times New Roman"/>
                <w:i/>
                <w:color w:val="000000" w:themeColor="text1"/>
                <w:sz w:val="20"/>
                <w:szCs w:val="24"/>
                <w14:textFill>
                  <w14:solidFill>
                    <w14:schemeClr w14:val="tx1"/>
                  </w14:solidFill>
                </w14:textFill>
              </w:rPr>
            </m:ctrlPr>
          </m:e>
          <m:sub>
            <m:r>
              <m:rPr/>
              <w:rPr>
                <w:rFonts w:hint="default" w:ascii="Cambria Math" w:hAnsi="Cambria Math" w:cs="Times New Roman"/>
                <w:color w:val="000000" w:themeColor="text1"/>
                <w:sz w:val="20"/>
                <w:szCs w:val="24"/>
                <w:lang w:val="en-US" w:eastAsia="zh-CN"/>
                <w14:textFill>
                  <w14:solidFill>
                    <w14:schemeClr w14:val="tx1"/>
                  </w14:solidFill>
                </w14:textFill>
              </w:rPr>
              <m:t>SC</m:t>
            </m:r>
            <m:ctrlPr>
              <w:rPr>
                <w:rFonts w:hint="default" w:ascii="Cambria Math" w:hAnsi="Cambria Math" w:cs="Times New Roman"/>
                <w:i/>
                <w:color w:val="000000" w:themeColor="text1"/>
                <w:sz w:val="20"/>
                <w:szCs w:val="24"/>
                <w14:textFill>
                  <w14:solidFill>
                    <w14:schemeClr w14:val="tx1"/>
                  </w14:solidFill>
                </w14:textFill>
              </w:rPr>
            </m:ctrlPr>
          </m:sub>
        </m:sSub>
        <m:r>
          <m:rPr/>
          <w:rPr>
            <w:rFonts w:hint="default" w:ascii="Cambria Math" w:hAnsi="Cambria Math" w:cs="Times New Roman"/>
            <w:color w:val="000000" w:themeColor="text1"/>
            <w:sz w:val="20"/>
            <w:szCs w:val="24"/>
            <w14:textFill>
              <w14:solidFill>
                <w14:schemeClr w14:val="tx1"/>
              </w14:solidFill>
            </w14:textFill>
          </w:rPr>
          <m:t>+</m:t>
        </m:r>
        <m:sSub>
          <m:sSubPr>
            <m:ctrlPr>
              <w:rPr>
                <w:rFonts w:hint="default" w:ascii="Cambria Math" w:hAnsi="Cambria Math" w:cs="Times New Roman"/>
                <w:i/>
                <w:color w:val="000000" w:themeColor="text1"/>
                <w:sz w:val="20"/>
                <w:szCs w:val="24"/>
                <w14:textFill>
                  <w14:solidFill>
                    <w14:schemeClr w14:val="tx1"/>
                  </w14:solidFill>
                </w14:textFill>
              </w:rPr>
            </m:ctrlPr>
          </m:sSubPr>
          <m:e>
            <m:r>
              <m:rPr/>
              <w:rPr>
                <w:rFonts w:hint="default" w:ascii="Cambria Math" w:hAnsi="Cambria Math" w:cs="Times New Roman"/>
                <w:color w:val="000000" w:themeColor="text1"/>
                <w:sz w:val="20"/>
                <w:szCs w:val="24"/>
                <w14:textFill>
                  <w14:solidFill>
                    <w14:schemeClr w14:val="tx1"/>
                  </w14:solidFill>
                </w14:textFill>
              </w:rPr>
              <m:t>C</m:t>
            </m:r>
            <m:ctrlPr>
              <w:rPr>
                <w:rFonts w:hint="default" w:ascii="Cambria Math" w:hAnsi="Cambria Math" w:cs="Times New Roman"/>
                <w:i/>
                <w:color w:val="000000" w:themeColor="text1"/>
                <w:sz w:val="20"/>
                <w:szCs w:val="24"/>
                <w14:textFill>
                  <w14:solidFill>
                    <w14:schemeClr w14:val="tx1"/>
                  </w14:solidFill>
                </w14:textFill>
              </w:rPr>
            </m:ctrlPr>
          </m:e>
          <m:sub>
            <m:r>
              <m:rPr/>
              <w:rPr>
                <w:rFonts w:hint="default" w:ascii="Cambria Math" w:hAnsi="Cambria Math" w:cs="Times New Roman"/>
                <w:color w:val="000000" w:themeColor="text1"/>
                <w:sz w:val="20"/>
                <w:szCs w:val="24"/>
                <w:lang w:val="en-US" w:eastAsia="zh-CN"/>
                <w14:textFill>
                  <w14:solidFill>
                    <w14:schemeClr w14:val="tx1"/>
                  </w14:solidFill>
                </w14:textFill>
              </w:rPr>
              <m:t>SG</m:t>
            </m:r>
            <m:ctrlPr>
              <w:rPr>
                <w:rFonts w:hint="default" w:ascii="Cambria Math" w:hAnsi="Cambria Math" w:cs="Times New Roman"/>
                <w:i/>
                <w:color w:val="000000" w:themeColor="text1"/>
                <w:sz w:val="20"/>
                <w:szCs w:val="24"/>
                <w14:textFill>
                  <w14:solidFill>
                    <w14:schemeClr w14:val="tx1"/>
                  </w14:solidFill>
                </w14:textFill>
              </w:rPr>
            </m:ctrlPr>
          </m:sub>
        </m:sSub>
        <m:r>
          <m:rPr/>
          <w:rPr>
            <w:rFonts w:hint="default" w:ascii="Cambria Math" w:hAnsi="Cambria Math" w:cs="Times New Roman"/>
            <w:color w:val="000000" w:themeColor="text1"/>
            <w:sz w:val="20"/>
            <w:szCs w:val="24"/>
            <w14:textFill>
              <w14:solidFill>
                <w14:schemeClr w14:val="tx1"/>
              </w14:solidFill>
            </w14:textFill>
          </w:rPr>
          <m:t>+</m:t>
        </m:r>
        <m:sSub>
          <m:sSubPr>
            <m:ctrlPr>
              <w:rPr>
                <w:rFonts w:hint="default" w:ascii="Cambria Math" w:hAnsi="Cambria Math" w:cs="Times New Roman"/>
                <w:i/>
                <w:color w:val="000000" w:themeColor="text1"/>
                <w:sz w:val="20"/>
                <w:szCs w:val="24"/>
                <w14:textFill>
                  <w14:solidFill>
                    <w14:schemeClr w14:val="tx1"/>
                  </w14:solidFill>
                </w14:textFill>
              </w:rPr>
            </m:ctrlPr>
          </m:sSubPr>
          <m:e>
            <m:r>
              <m:rPr/>
              <w:rPr>
                <w:rFonts w:hint="default" w:ascii="Cambria Math" w:hAnsi="Cambria Math" w:cs="Times New Roman"/>
                <w:color w:val="000000" w:themeColor="text1"/>
                <w:sz w:val="20"/>
                <w:szCs w:val="24"/>
                <w14:textFill>
                  <w14:solidFill>
                    <w14:schemeClr w14:val="tx1"/>
                  </w14:solidFill>
                </w14:textFill>
              </w:rPr>
              <m:t>C</m:t>
            </m:r>
            <m:ctrlPr>
              <w:rPr>
                <w:rFonts w:hint="default" w:ascii="Cambria Math" w:hAnsi="Cambria Math" w:cs="Times New Roman"/>
                <w:i/>
                <w:color w:val="000000" w:themeColor="text1"/>
                <w:sz w:val="20"/>
                <w:szCs w:val="24"/>
                <w14:textFill>
                  <w14:solidFill>
                    <w14:schemeClr w14:val="tx1"/>
                  </w14:solidFill>
                </w14:textFill>
              </w:rPr>
            </m:ctrlPr>
          </m:e>
          <m:sub>
            <m:r>
              <m:rPr/>
              <w:rPr>
                <w:rFonts w:hint="default" w:ascii="Cambria Math" w:hAnsi="Cambria Math" w:cs="Times New Roman"/>
                <w:color w:val="000000" w:themeColor="text1"/>
                <w:sz w:val="20"/>
                <w:szCs w:val="24"/>
                <w:lang w:val="en-US" w:eastAsia="zh-CN"/>
                <w14:textFill>
                  <w14:solidFill>
                    <w14:schemeClr w14:val="tx1"/>
                  </w14:solidFill>
                </w14:textFill>
              </w:rPr>
              <m:t>MQ</m:t>
            </m:r>
            <m:ctrlPr>
              <w:rPr>
                <w:rFonts w:hint="default" w:ascii="Cambria Math" w:hAnsi="Cambria Math" w:cs="Times New Roman"/>
                <w:i/>
                <w:color w:val="000000" w:themeColor="text1"/>
                <w:sz w:val="20"/>
                <w:szCs w:val="24"/>
                <w14:textFill>
                  <w14:solidFill>
                    <w14:schemeClr w14:val="tx1"/>
                  </w14:solidFill>
                </w14:textFill>
              </w:rPr>
            </m:ctrlPr>
          </m:sub>
        </m:sSub>
        <m:r>
          <m:rPr>
            <m:sty m:val="p"/>
          </m:rPr>
          <w:rPr>
            <w:rFonts w:hint="default" w:ascii="Cambria Math" w:hAnsi="Cambria Math" w:cs="Times New Roman"/>
            <w:color w:val="000000" w:themeColor="text1"/>
            <w:sz w:val="20"/>
            <w:szCs w:val="24"/>
            <w:lang w:eastAsia="zh-CN"/>
            <w14:textFill>
              <w14:solidFill>
                <w14:schemeClr w14:val="tx1"/>
              </w14:solidFill>
            </w14:textFill>
          </w:rPr>
          <m:t>）</m:t>
        </m:r>
        <m:r>
          <m:rPr>
            <m:sty m:val="p"/>
          </m:rPr>
          <w:rPr>
            <w:rFonts w:hint="default" w:ascii="Cambria Math" w:hAnsi="Cambria Math" w:cs="Times New Roman"/>
            <w:color w:val="000000" w:themeColor="text1"/>
            <w:sz w:val="20"/>
            <w:szCs w:val="24"/>
            <w:lang w:val="en-US" w:eastAsia="zh-CN"/>
            <w14:textFill>
              <w14:solidFill>
                <w14:schemeClr w14:val="tx1"/>
              </w14:solidFill>
            </w14:textFill>
          </w:rPr>
          <m:t>/V</m:t>
        </m:r>
      </m:oMath>
      <w:r>
        <w:rPr>
          <w:rFonts w:hint="eastAsia" w:hAnsi="Cambria Math" w:cs="Times New Roman"/>
          <w:b w:val="0"/>
          <w:i w:val="0"/>
          <w:color w:val="000000" w:themeColor="text1"/>
          <w:sz w:val="20"/>
          <w:szCs w:val="24"/>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（1）</w:t>
      </w:r>
    </w:p>
    <w:p>
      <w:pPr>
        <w:spacing w:line="360" w:lineRule="auto"/>
        <w:ind w:firstLine="420" w:firstLineChars="200"/>
        <w:jc w:val="left"/>
        <w:rPr>
          <w:rFonts w:hint="default" w:ascii="Times New Roman" w:hAnsi="Times New Roman" w:cs="Times New Roman"/>
        </w:rPr>
      </w:pPr>
      <w:r>
        <w:rPr>
          <w:rFonts w:hint="default" w:ascii="Times New Roman" w:hAnsi="Times New Roman" w:cs="Times New Roman"/>
        </w:rPr>
        <w:t>式中：</w:t>
      </w:r>
    </w:p>
    <w:p>
      <w:pPr>
        <w:spacing w:line="360" w:lineRule="auto"/>
        <w:ind w:firstLine="420" w:firstLineChars="200"/>
        <w:jc w:val="left"/>
        <w:rPr>
          <w:rFonts w:hint="default" w:ascii="Times New Roman" w:hAnsi="Times New Roman" w:cs="Times New Roman"/>
          <w:highlight w:val="none"/>
        </w:rPr>
      </w:pPr>
      <w:bookmarkStart w:id="171" w:name="OLE_LINK43"/>
      <w:r>
        <w:rPr>
          <w:rFonts w:hint="default" w:ascii="Times New Roman" w:hAnsi="Times New Roman" w:cs="Times New Roman"/>
          <w:i/>
          <w:iCs/>
          <w:highlight w:val="none"/>
        </w:rPr>
        <w:t>CFP</w:t>
      </w:r>
      <w:r>
        <w:rPr>
          <w:rFonts w:hint="default" w:ascii="Times New Roman" w:hAnsi="Times New Roman" w:cs="Times New Roman"/>
          <w:highlight w:val="none"/>
        </w:rPr>
        <w:t>——</w:t>
      </w:r>
      <w:r>
        <w:rPr>
          <w:rFonts w:hint="default" w:ascii="Times New Roman" w:hAnsi="Times New Roman" w:cs="Times New Roman"/>
          <w:highlight w:val="none"/>
          <w:lang w:val="en-US" w:eastAsia="zh-CN"/>
        </w:rPr>
        <w:t>每功能单位港</w:t>
      </w:r>
      <w:r>
        <w:rPr>
          <w:rFonts w:hint="default" w:ascii="Times New Roman" w:hAnsi="Times New Roman" w:cs="Times New Roman"/>
          <w:highlight w:val="none"/>
        </w:rPr>
        <w:t>口水工建筑物预制混凝土构件产品碳足迹</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kg</w:t>
      </w:r>
      <w:r>
        <w:rPr>
          <w:rFonts w:hint="default" w:ascii="Times New Roman" w:hAnsi="Times New Roman" w:cs="Times New Roman"/>
          <w:color w:val="000000" w:themeColor="text1"/>
          <w:highlight w:val="none"/>
          <w14:textFill>
            <w14:solidFill>
              <w14:schemeClr w14:val="tx1"/>
            </w14:solidFill>
          </w14:textFill>
        </w:rPr>
        <w:t>CO</w:t>
      </w:r>
      <w:r>
        <w:rPr>
          <w:rFonts w:hint="default" w:ascii="Times New Roman" w:hAnsi="Times New Roman" w:cs="Times New Roman"/>
          <w:color w:val="000000" w:themeColor="text1"/>
          <w:highlight w:val="none"/>
          <w:vertAlign w:val="subscript"/>
          <w14:textFill>
            <w14:solidFill>
              <w14:schemeClr w14:val="tx1"/>
            </w14:solidFill>
          </w14:textFill>
        </w:rPr>
        <w:t>2</w:t>
      </w:r>
      <w:r>
        <w:rPr>
          <w:rFonts w:hint="default" w:ascii="Times New Roman" w:hAnsi="Times New Roman" w:cs="Times New Roman"/>
          <w:color w:val="000000" w:themeColor="text1"/>
          <w:highlight w:val="none"/>
          <w14:textFill>
            <w14:solidFill>
              <w14:schemeClr w14:val="tx1"/>
            </w14:solidFill>
          </w14:textFill>
        </w:rPr>
        <w:t>e</w:t>
      </w:r>
      <w:r>
        <w:rPr>
          <w:rFonts w:hint="default" w:ascii="Times New Roman" w:hAnsi="Times New Roman" w:cs="Times New Roman"/>
          <w:color w:val="000000" w:themeColor="text1"/>
          <w:highlight w:val="none"/>
          <w:lang w:val="en-US" w:eastAsia="zh-CN"/>
          <w14:textFill>
            <w14:solidFill>
              <w14:schemeClr w14:val="tx1"/>
            </w14:solidFill>
          </w14:textFill>
        </w:rPr>
        <w:t>/功能单位或声明单位</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highlight w:val="none"/>
        </w:rPr>
        <w:t>；</w:t>
      </w:r>
    </w:p>
    <w:p>
      <w:pPr>
        <w:spacing w:line="360" w:lineRule="auto"/>
        <w:ind w:firstLine="400" w:firstLineChars="200"/>
        <w:jc w:val="left"/>
        <w:rPr>
          <w:rFonts w:hint="default" w:ascii="Times New Roman" w:hAnsi="Times New Roman" w:cs="Times New Roman"/>
          <w:i w:val="0"/>
          <w:color w:val="000000" w:themeColor="text1"/>
          <w:sz w:val="20"/>
          <w:szCs w:val="24"/>
          <w:highlight w:val="none"/>
          <w14:textFill>
            <w14:solidFill>
              <w14:schemeClr w14:val="tx1"/>
            </w14:solidFill>
          </w14:textFill>
        </w:rPr>
      </w:pPr>
      <m:oMath>
        <m:sSub>
          <m:sSubPr>
            <m:ctrlPr>
              <w:rPr>
                <w:rFonts w:hint="default" w:ascii="Cambria Math" w:hAnsi="Cambria Math" w:cs="Times New Roman"/>
                <w:i/>
                <w:color w:val="000000" w:themeColor="text1"/>
                <w:sz w:val="20"/>
                <w:szCs w:val="24"/>
                <w:highlight w:val="none"/>
                <w14:textFill>
                  <w14:solidFill>
                    <w14:schemeClr w14:val="tx1"/>
                  </w14:solidFill>
                </w14:textFill>
              </w:rPr>
            </m:ctrlPr>
          </m:sSubPr>
          <m:e>
            <m:r>
              <m:rPr/>
              <w:rPr>
                <w:rFonts w:hint="default" w:ascii="Cambria Math" w:hAnsi="Cambria Math" w:cs="Times New Roman"/>
                <w:color w:val="000000" w:themeColor="text1"/>
                <w:sz w:val="20"/>
                <w:szCs w:val="24"/>
                <w:highlight w:val="none"/>
                <w14:textFill>
                  <w14:solidFill>
                    <w14:schemeClr w14:val="tx1"/>
                  </w14:solidFill>
                </w14:textFill>
              </w:rPr>
              <m:t>C</m:t>
            </m:r>
            <m:ctrlPr>
              <w:rPr>
                <w:rFonts w:hint="default" w:ascii="Cambria Math" w:hAnsi="Cambria Math" w:cs="Times New Roman"/>
                <w:i/>
                <w:color w:val="000000" w:themeColor="text1"/>
                <w:sz w:val="20"/>
                <w:szCs w:val="24"/>
                <w:highlight w:val="none"/>
                <w14:textFill>
                  <w14:solidFill>
                    <w14:schemeClr w14:val="tx1"/>
                  </w14:solidFill>
                </w14:textFill>
              </w:rPr>
            </m:ctrlPr>
          </m:e>
          <m:sub>
            <m:r>
              <m:rPr>
                <m:sty m:val="p"/>
              </m:rPr>
              <w:rPr>
                <w:rFonts w:hint="default" w:ascii="Cambria Math" w:hAnsi="Cambria Math" w:cs="Times New Roman"/>
                <w:color w:val="000000" w:themeColor="text1"/>
                <w:sz w:val="20"/>
                <w:szCs w:val="20"/>
                <w:highlight w:val="none"/>
                <w14:textFill>
                  <w14:solidFill>
                    <w14:schemeClr w14:val="tx1"/>
                  </w14:solidFill>
                </w14:textFill>
              </w:rPr>
              <m:t>CL</m:t>
            </m:r>
            <m:ctrlPr>
              <w:rPr>
                <w:rFonts w:hint="default" w:ascii="Cambria Math" w:hAnsi="Cambria Math" w:cs="Times New Roman"/>
                <w:i/>
                <w:color w:val="000000" w:themeColor="text1"/>
                <w:sz w:val="20"/>
                <w:szCs w:val="24"/>
                <w:highlight w:val="none"/>
                <w14:textFill>
                  <w14:solidFill>
                    <w14:schemeClr w14:val="tx1"/>
                  </w14:solidFill>
                </w14:textFill>
              </w:rPr>
            </m:ctrlPr>
          </m:sub>
        </m:sSub>
      </m:oMath>
      <w:r>
        <w:rPr>
          <w:rFonts w:hint="default" w:ascii="Times New Roman" w:hAnsi="Times New Roman" w:cs="Times New Roman"/>
          <w:highlight w:val="none"/>
        </w:rPr>
        <w:t>——原材料获取阶段温室气体排放量，单位为千克二氧化碳当量</w:t>
      </w:r>
      <w:r>
        <w:rPr>
          <w:rFonts w:hint="default" w:ascii="Times New Roman" w:hAnsi="Times New Roman" w:cs="Times New Roman"/>
          <w:highlight w:val="none"/>
          <w:lang w:eastAsia="zh-CN"/>
        </w:rPr>
        <w:t>（</w:t>
      </w:r>
      <w:r>
        <w:rPr>
          <w:rFonts w:hint="default" w:ascii="Times New Roman" w:hAnsi="Times New Roman" w:cs="Times New Roman"/>
          <w:color w:val="000000" w:themeColor="text1"/>
          <w:highlight w:val="none"/>
          <w:lang w:val="en-US" w:eastAsia="zh-CN"/>
          <w14:textFill>
            <w14:solidFill>
              <w14:schemeClr w14:val="tx1"/>
            </w14:solidFill>
          </w14:textFill>
        </w:rPr>
        <w:t>kg</w:t>
      </w:r>
      <w:r>
        <w:rPr>
          <w:rFonts w:hint="default" w:ascii="Times New Roman" w:hAnsi="Times New Roman" w:cs="Times New Roman"/>
          <w:color w:val="000000" w:themeColor="text1"/>
          <w:highlight w:val="none"/>
          <w14:textFill>
            <w14:solidFill>
              <w14:schemeClr w14:val="tx1"/>
            </w14:solidFill>
          </w14:textFill>
        </w:rPr>
        <w:t>CO</w:t>
      </w:r>
      <w:r>
        <w:rPr>
          <w:rFonts w:hint="default" w:ascii="Times New Roman" w:hAnsi="Times New Roman" w:cs="Times New Roman"/>
          <w:color w:val="000000" w:themeColor="text1"/>
          <w:highlight w:val="none"/>
          <w:vertAlign w:val="subscript"/>
          <w14:textFill>
            <w14:solidFill>
              <w14:schemeClr w14:val="tx1"/>
            </w14:solidFill>
          </w14:textFill>
        </w:rPr>
        <w:t>2</w:t>
      </w:r>
      <w:r>
        <w:rPr>
          <w:rFonts w:hint="default" w:ascii="Times New Roman" w:hAnsi="Times New Roman" w:cs="Times New Roman"/>
          <w:color w:val="000000" w:themeColor="text1"/>
          <w:highlight w:val="none"/>
          <w14:textFill>
            <w14:solidFill>
              <w14:schemeClr w14:val="tx1"/>
            </w14:solidFill>
          </w14:textFill>
        </w:rPr>
        <w:t>e</w:t>
      </w:r>
      <w:r>
        <w:rPr>
          <w:rFonts w:hint="default" w:ascii="Times New Roman" w:hAnsi="Times New Roman" w:cs="Times New Roman"/>
          <w:highlight w:val="none"/>
          <w:lang w:eastAsia="zh-CN"/>
        </w:rPr>
        <w:t>）</w:t>
      </w:r>
      <w:r>
        <w:rPr>
          <w:rFonts w:hint="default" w:ascii="Times New Roman" w:hAnsi="Times New Roman" w:cs="Times New Roman"/>
          <w:color w:val="000000" w:themeColor="text1"/>
          <w:highlight w:val="none"/>
          <w14:textFill>
            <w14:solidFill>
              <w14:schemeClr w14:val="tx1"/>
            </w14:solidFill>
          </w14:textFill>
        </w:rPr>
        <w:t>；</w:t>
      </w:r>
    </w:p>
    <w:p>
      <w:pPr>
        <w:spacing w:line="360" w:lineRule="auto"/>
        <w:ind w:firstLine="400" w:firstLineChars="200"/>
        <w:jc w:val="left"/>
        <w:rPr>
          <w:rFonts w:hint="default" w:ascii="Times New Roman" w:hAnsi="Times New Roman" w:cs="Times New Roman"/>
          <w:i w:val="0"/>
          <w:color w:val="000000" w:themeColor="text1"/>
          <w:sz w:val="20"/>
          <w:szCs w:val="24"/>
          <w:highlight w:val="none"/>
          <w14:textFill>
            <w14:solidFill>
              <w14:schemeClr w14:val="tx1"/>
            </w14:solidFill>
          </w14:textFill>
        </w:rPr>
      </w:pPr>
      <m:oMath>
        <m:sSub>
          <m:sSubPr>
            <m:ctrlPr>
              <w:rPr>
                <w:rFonts w:hint="default" w:ascii="Cambria Math" w:hAnsi="Cambria Math" w:cs="Times New Roman"/>
                <w:i/>
                <w:color w:val="000000" w:themeColor="text1"/>
                <w:sz w:val="20"/>
                <w:szCs w:val="24"/>
                <w:highlight w:val="none"/>
                <w14:textFill>
                  <w14:solidFill>
                    <w14:schemeClr w14:val="tx1"/>
                  </w14:solidFill>
                </w14:textFill>
              </w:rPr>
            </m:ctrlPr>
          </m:sSubPr>
          <m:e>
            <m:r>
              <m:rPr/>
              <w:rPr>
                <w:rFonts w:hint="default" w:ascii="Cambria Math" w:hAnsi="Cambria Math" w:cs="Times New Roman"/>
                <w:color w:val="000000" w:themeColor="text1"/>
                <w:sz w:val="20"/>
                <w:szCs w:val="24"/>
                <w:highlight w:val="none"/>
                <w14:textFill>
                  <w14:solidFill>
                    <w14:schemeClr w14:val="tx1"/>
                  </w14:solidFill>
                </w14:textFill>
              </w:rPr>
              <m:t>C</m:t>
            </m:r>
            <m:ctrlPr>
              <w:rPr>
                <w:rFonts w:hint="default" w:ascii="Cambria Math" w:hAnsi="Cambria Math" w:cs="Times New Roman"/>
                <w:i/>
                <w:color w:val="000000" w:themeColor="text1"/>
                <w:sz w:val="20"/>
                <w:szCs w:val="24"/>
                <w:highlight w:val="none"/>
                <w14:textFill>
                  <w14:solidFill>
                    <w14:schemeClr w14:val="tx1"/>
                  </w14:solidFill>
                </w14:textFill>
              </w:rPr>
            </m:ctrlPr>
          </m:e>
          <m:sub>
            <m:r>
              <m:rPr/>
              <w:rPr>
                <w:rFonts w:hint="default" w:ascii="Cambria Math" w:hAnsi="Cambria Math" w:cs="Times New Roman"/>
                <w:color w:val="000000" w:themeColor="text1"/>
                <w:sz w:val="20"/>
                <w:szCs w:val="24"/>
                <w:highlight w:val="none"/>
                <w:lang w:val="en-US" w:eastAsia="zh-CN"/>
                <w14:textFill>
                  <w14:solidFill>
                    <w14:schemeClr w14:val="tx1"/>
                  </w14:solidFill>
                </w14:textFill>
              </w:rPr>
              <m:t>SC</m:t>
            </m:r>
            <m:ctrlPr>
              <w:rPr>
                <w:rFonts w:hint="default" w:ascii="Cambria Math" w:hAnsi="Cambria Math" w:cs="Times New Roman"/>
                <w:i/>
                <w:color w:val="000000" w:themeColor="text1"/>
                <w:sz w:val="20"/>
                <w:szCs w:val="24"/>
                <w:highlight w:val="none"/>
                <w14:textFill>
                  <w14:solidFill>
                    <w14:schemeClr w14:val="tx1"/>
                  </w14:solidFill>
                </w14:textFill>
              </w:rPr>
            </m:ctrlPr>
          </m:sub>
        </m:sSub>
      </m:oMath>
      <w:r>
        <w:rPr>
          <w:rFonts w:hint="default" w:ascii="Times New Roman" w:hAnsi="Times New Roman" w:cs="Times New Roman"/>
          <w:highlight w:val="none"/>
        </w:rPr>
        <w:t>——</w:t>
      </w:r>
      <w:r>
        <w:rPr>
          <w:rFonts w:hint="default" w:ascii="Times New Roman" w:hAnsi="Times New Roman" w:cs="Times New Roman"/>
          <w:sz w:val="21"/>
          <w:szCs w:val="21"/>
          <w:highlight w:val="none"/>
        </w:rPr>
        <w:t>生产制造阶段温室气体排放量，单位为千克二氧化碳当量</w:t>
      </w:r>
      <w:r>
        <w:rPr>
          <w:rFonts w:hint="default" w:ascii="Times New Roman" w:hAnsi="Times New Roman" w:cs="Times New Roman"/>
          <w:sz w:val="21"/>
          <w:szCs w:val="21"/>
          <w:highlight w:val="none"/>
          <w:lang w:eastAsia="zh-CN"/>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kg</w:t>
      </w:r>
      <w:r>
        <w:rPr>
          <w:rFonts w:hint="default" w:ascii="Times New Roman" w:hAnsi="Times New Roman" w:cs="Times New Roman"/>
          <w:color w:val="000000" w:themeColor="text1"/>
          <w:sz w:val="21"/>
          <w:szCs w:val="21"/>
          <w:highlight w:val="none"/>
          <w14:textFill>
            <w14:solidFill>
              <w14:schemeClr w14:val="tx1"/>
            </w14:solidFill>
          </w14:textFill>
        </w:rPr>
        <w:t>CO</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sz w:val="21"/>
          <w:szCs w:val="21"/>
          <w:highlight w:val="none"/>
          <w14:textFill>
            <w14:solidFill>
              <w14:schemeClr w14:val="tx1"/>
            </w14:solidFill>
          </w14:textFill>
        </w:rPr>
        <w:t>e</w:t>
      </w:r>
      <w:r>
        <w:rPr>
          <w:rFonts w:hint="default" w:ascii="Times New Roman" w:hAnsi="Times New Roman" w:cs="Times New Roman"/>
          <w:sz w:val="21"/>
          <w:szCs w:val="21"/>
          <w:highlight w:val="none"/>
          <w:lang w:eastAsia="zh-CN"/>
        </w:rPr>
        <w:t>）</w:t>
      </w:r>
      <w:r>
        <w:rPr>
          <w:rFonts w:hint="default" w:ascii="Times New Roman" w:hAnsi="Times New Roman" w:cs="Times New Roman"/>
          <w:color w:val="000000" w:themeColor="text1"/>
          <w:sz w:val="21"/>
          <w:szCs w:val="21"/>
          <w:highlight w:val="none"/>
          <w14:textFill>
            <w14:solidFill>
              <w14:schemeClr w14:val="tx1"/>
            </w14:solidFill>
          </w14:textFill>
        </w:rPr>
        <w:t>；</w:t>
      </w:r>
    </w:p>
    <w:p>
      <w:pPr>
        <w:spacing w:line="360" w:lineRule="auto"/>
        <w:ind w:firstLine="400" w:firstLineChars="200"/>
        <w:jc w:val="left"/>
        <w:rPr>
          <w:rFonts w:hint="default" w:ascii="Times New Roman" w:hAnsi="Times New Roman" w:cs="Times New Roman"/>
          <w:i w:val="0"/>
          <w:color w:val="000000" w:themeColor="text1"/>
          <w:sz w:val="20"/>
          <w:szCs w:val="24"/>
          <w:highlight w:val="none"/>
          <w14:textFill>
            <w14:solidFill>
              <w14:schemeClr w14:val="tx1"/>
            </w14:solidFill>
          </w14:textFill>
        </w:rPr>
      </w:pPr>
      <m:oMath>
        <m:sSub>
          <m:sSubPr>
            <m:ctrlPr>
              <w:rPr>
                <w:rFonts w:hint="default" w:ascii="Cambria Math" w:hAnsi="Cambria Math" w:cs="Times New Roman"/>
                <w:i/>
                <w:color w:val="000000" w:themeColor="text1"/>
                <w:sz w:val="20"/>
                <w:szCs w:val="24"/>
                <w:highlight w:val="none"/>
                <w14:textFill>
                  <w14:solidFill>
                    <w14:schemeClr w14:val="tx1"/>
                  </w14:solidFill>
                </w14:textFill>
              </w:rPr>
            </m:ctrlPr>
          </m:sSubPr>
          <m:e>
            <m:r>
              <m:rPr/>
              <w:rPr>
                <w:rFonts w:hint="default" w:ascii="Cambria Math" w:hAnsi="Cambria Math" w:cs="Times New Roman"/>
                <w:color w:val="000000" w:themeColor="text1"/>
                <w:sz w:val="20"/>
                <w:szCs w:val="24"/>
                <w:highlight w:val="none"/>
                <w14:textFill>
                  <w14:solidFill>
                    <w14:schemeClr w14:val="tx1"/>
                  </w14:solidFill>
                </w14:textFill>
              </w:rPr>
              <m:t>C</m:t>
            </m:r>
            <m:ctrlPr>
              <w:rPr>
                <w:rFonts w:hint="default" w:ascii="Cambria Math" w:hAnsi="Cambria Math" w:cs="Times New Roman"/>
                <w:i/>
                <w:color w:val="000000" w:themeColor="text1"/>
                <w:sz w:val="20"/>
                <w:szCs w:val="24"/>
                <w:highlight w:val="none"/>
                <w14:textFill>
                  <w14:solidFill>
                    <w14:schemeClr w14:val="tx1"/>
                  </w14:solidFill>
                </w14:textFill>
              </w:rPr>
            </m:ctrlPr>
          </m:e>
          <m:sub>
            <m:r>
              <m:rPr/>
              <w:rPr>
                <w:rFonts w:hint="default" w:ascii="Cambria Math" w:hAnsi="Cambria Math" w:cs="Times New Roman"/>
                <w:color w:val="000000" w:themeColor="text1"/>
                <w:sz w:val="20"/>
                <w:szCs w:val="24"/>
                <w:highlight w:val="none"/>
                <w:lang w:val="en-US" w:eastAsia="zh-CN"/>
                <w14:textFill>
                  <w14:solidFill>
                    <w14:schemeClr w14:val="tx1"/>
                  </w14:solidFill>
                </w14:textFill>
              </w:rPr>
              <m:t>SG</m:t>
            </m:r>
            <m:ctrlPr>
              <w:rPr>
                <w:rFonts w:hint="default" w:ascii="Cambria Math" w:hAnsi="Cambria Math" w:cs="Times New Roman"/>
                <w:i/>
                <w:color w:val="000000" w:themeColor="text1"/>
                <w:sz w:val="20"/>
                <w:szCs w:val="24"/>
                <w:highlight w:val="none"/>
                <w14:textFill>
                  <w14:solidFill>
                    <w14:schemeClr w14:val="tx1"/>
                  </w14:solidFill>
                </w14:textFill>
              </w:rPr>
            </m:ctrlPr>
          </m:sub>
        </m:sSub>
      </m:oMath>
      <w:r>
        <w:rPr>
          <w:rFonts w:hint="default" w:ascii="Times New Roman" w:hAnsi="Times New Roman" w:cs="Times New Roman"/>
          <w:highlight w:val="none"/>
        </w:rPr>
        <w:t>——</w:t>
      </w:r>
      <w:r>
        <w:rPr>
          <w:rFonts w:hint="default" w:ascii="Times New Roman" w:hAnsi="Times New Roman" w:cs="Times New Roman"/>
          <w:sz w:val="21"/>
          <w:szCs w:val="21"/>
          <w:highlight w:val="none"/>
        </w:rPr>
        <w:t>施工阶段温室气体排放量，单位为千克二氧化碳当量</w:t>
      </w:r>
      <w:r>
        <w:rPr>
          <w:rFonts w:hint="default" w:ascii="Times New Roman" w:hAnsi="Times New Roman" w:cs="Times New Roman"/>
          <w:sz w:val="21"/>
          <w:szCs w:val="21"/>
          <w:highlight w:val="none"/>
          <w:lang w:eastAsia="zh-CN"/>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kg</w:t>
      </w:r>
      <w:r>
        <w:rPr>
          <w:rFonts w:hint="default" w:ascii="Times New Roman" w:hAnsi="Times New Roman" w:cs="Times New Roman"/>
          <w:color w:val="000000" w:themeColor="text1"/>
          <w:sz w:val="21"/>
          <w:szCs w:val="21"/>
          <w:highlight w:val="none"/>
          <w14:textFill>
            <w14:solidFill>
              <w14:schemeClr w14:val="tx1"/>
            </w14:solidFill>
          </w14:textFill>
        </w:rPr>
        <w:t>CO</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sz w:val="21"/>
          <w:szCs w:val="21"/>
          <w:highlight w:val="none"/>
          <w14:textFill>
            <w14:solidFill>
              <w14:schemeClr w14:val="tx1"/>
            </w14:solidFill>
          </w14:textFill>
        </w:rPr>
        <w:t>e</w:t>
      </w:r>
      <w:r>
        <w:rPr>
          <w:rFonts w:hint="default" w:ascii="Times New Roman" w:hAnsi="Times New Roman" w:cs="Times New Roman"/>
          <w:sz w:val="21"/>
          <w:szCs w:val="21"/>
          <w:highlight w:val="none"/>
          <w:lang w:eastAsia="zh-CN"/>
        </w:rPr>
        <w:t>）</w:t>
      </w:r>
      <w:r>
        <w:rPr>
          <w:rFonts w:hint="default" w:ascii="Times New Roman" w:hAnsi="Times New Roman" w:cs="Times New Roman"/>
          <w:color w:val="000000" w:themeColor="text1"/>
          <w:sz w:val="21"/>
          <w:szCs w:val="21"/>
          <w:highlight w:val="none"/>
          <w14:textFill>
            <w14:solidFill>
              <w14:schemeClr w14:val="tx1"/>
            </w14:solidFill>
          </w14:textFill>
        </w:rPr>
        <w:t>；</w:t>
      </w:r>
    </w:p>
    <w:p>
      <w:pPr>
        <w:spacing w:line="360" w:lineRule="auto"/>
        <w:ind w:firstLine="400" w:firstLineChars="200"/>
        <w:jc w:val="left"/>
        <w:rPr>
          <w:rFonts w:hint="default" w:ascii="Times New Roman" w:hAnsi="Times New Roman" w:cs="Times New Roman"/>
          <w:i w:val="0"/>
          <w:color w:val="000000" w:themeColor="text1"/>
          <w:sz w:val="20"/>
          <w:szCs w:val="24"/>
          <w:highlight w:val="none"/>
          <w14:textFill>
            <w14:solidFill>
              <w14:schemeClr w14:val="tx1"/>
            </w14:solidFill>
          </w14:textFill>
        </w:rPr>
      </w:pPr>
      <m:oMath>
        <m:sSub>
          <m:sSubPr>
            <m:ctrlPr>
              <w:rPr>
                <w:rFonts w:hint="default" w:ascii="Cambria Math" w:hAnsi="Cambria Math" w:cs="Times New Roman"/>
                <w:i/>
                <w:color w:val="000000" w:themeColor="text1"/>
                <w:sz w:val="20"/>
                <w:szCs w:val="24"/>
                <w:highlight w:val="none"/>
                <w14:textFill>
                  <w14:solidFill>
                    <w14:schemeClr w14:val="tx1"/>
                  </w14:solidFill>
                </w14:textFill>
              </w:rPr>
            </m:ctrlPr>
          </m:sSubPr>
          <m:e>
            <m:r>
              <m:rPr/>
              <w:rPr>
                <w:rFonts w:hint="default" w:ascii="Cambria Math" w:hAnsi="Cambria Math" w:cs="Times New Roman"/>
                <w:color w:val="000000" w:themeColor="text1"/>
                <w:sz w:val="20"/>
                <w:szCs w:val="24"/>
                <w:highlight w:val="none"/>
                <w14:textFill>
                  <w14:solidFill>
                    <w14:schemeClr w14:val="tx1"/>
                  </w14:solidFill>
                </w14:textFill>
              </w:rPr>
              <m:t>C</m:t>
            </m:r>
            <m:ctrlPr>
              <w:rPr>
                <w:rFonts w:hint="default" w:ascii="Cambria Math" w:hAnsi="Cambria Math" w:cs="Times New Roman"/>
                <w:i/>
                <w:color w:val="000000" w:themeColor="text1"/>
                <w:sz w:val="20"/>
                <w:szCs w:val="24"/>
                <w:highlight w:val="none"/>
                <w14:textFill>
                  <w14:solidFill>
                    <w14:schemeClr w14:val="tx1"/>
                  </w14:solidFill>
                </w14:textFill>
              </w:rPr>
            </m:ctrlPr>
          </m:e>
          <m:sub>
            <m:r>
              <m:rPr/>
              <w:rPr>
                <w:rFonts w:hint="default" w:ascii="Cambria Math" w:hAnsi="Cambria Math" w:cs="Times New Roman"/>
                <w:color w:val="000000" w:themeColor="text1"/>
                <w:sz w:val="20"/>
                <w:szCs w:val="24"/>
                <w:highlight w:val="none"/>
                <w:lang w:val="en-US" w:eastAsia="zh-CN"/>
                <w14:textFill>
                  <w14:solidFill>
                    <w14:schemeClr w14:val="tx1"/>
                  </w14:solidFill>
                </w14:textFill>
              </w:rPr>
              <m:t>MQ</m:t>
            </m:r>
            <m:ctrlPr>
              <w:rPr>
                <w:rFonts w:hint="default" w:ascii="Cambria Math" w:hAnsi="Cambria Math" w:cs="Times New Roman"/>
                <w:i/>
                <w:color w:val="000000" w:themeColor="text1"/>
                <w:sz w:val="20"/>
                <w:szCs w:val="24"/>
                <w:highlight w:val="none"/>
                <w14:textFill>
                  <w14:solidFill>
                    <w14:schemeClr w14:val="tx1"/>
                  </w14:solidFill>
                </w14:textFill>
              </w:rPr>
            </m:ctrlPr>
          </m:sub>
        </m:sSub>
      </m:oMath>
      <w:r>
        <w:rPr>
          <w:rFonts w:hint="default" w:ascii="Times New Roman" w:hAnsi="Times New Roman" w:cs="Times New Roman"/>
          <w:highlight w:val="none"/>
        </w:rPr>
        <w:t>——</w:t>
      </w:r>
      <w:r>
        <w:rPr>
          <w:rFonts w:hint="default" w:ascii="Times New Roman" w:hAnsi="Times New Roman" w:cs="Times New Roman"/>
          <w:sz w:val="21"/>
          <w:szCs w:val="21"/>
          <w:highlight w:val="none"/>
        </w:rPr>
        <w:t>生命末期阶段碳排放量，单位为千克二氧化碳当量</w:t>
      </w:r>
      <w:r>
        <w:rPr>
          <w:rFonts w:hint="default" w:ascii="Times New Roman" w:hAnsi="Times New Roman" w:cs="Times New Roman"/>
          <w:sz w:val="21"/>
          <w:szCs w:val="21"/>
          <w:highlight w:val="none"/>
          <w:lang w:eastAsia="zh-CN"/>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kg</w:t>
      </w:r>
      <w:r>
        <w:rPr>
          <w:rFonts w:hint="default" w:ascii="Times New Roman" w:hAnsi="Times New Roman" w:cs="Times New Roman"/>
          <w:color w:val="000000" w:themeColor="text1"/>
          <w:sz w:val="21"/>
          <w:szCs w:val="21"/>
          <w:highlight w:val="none"/>
          <w14:textFill>
            <w14:solidFill>
              <w14:schemeClr w14:val="tx1"/>
            </w14:solidFill>
          </w14:textFill>
        </w:rPr>
        <w:t>CO</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sz w:val="21"/>
          <w:szCs w:val="21"/>
          <w:highlight w:val="none"/>
          <w14:textFill>
            <w14:solidFill>
              <w14:schemeClr w14:val="tx1"/>
            </w14:solidFill>
          </w14:textFill>
        </w:rPr>
        <w:t>e</w:t>
      </w:r>
      <w:r>
        <w:rPr>
          <w:rFonts w:hint="default" w:ascii="Times New Roman" w:hAnsi="Times New Roman" w:cs="Times New Roman"/>
          <w:sz w:val="21"/>
          <w:szCs w:val="21"/>
          <w:highlight w:val="none"/>
          <w:lang w:eastAsia="zh-CN"/>
        </w:rPr>
        <w:t>）</w:t>
      </w:r>
      <w:r>
        <w:rPr>
          <w:rFonts w:hint="default" w:ascii="Times New Roman" w:hAnsi="Times New Roman" w:cs="Times New Roman"/>
          <w:color w:val="000000" w:themeColor="text1"/>
          <w:sz w:val="21"/>
          <w:szCs w:val="21"/>
          <w:highlight w:val="none"/>
          <w14:textFill>
            <w14:solidFill>
              <w14:schemeClr w14:val="tx1"/>
            </w14:solidFill>
          </w14:textFill>
        </w:rPr>
        <w:t>；</w:t>
      </w:r>
      <w:bookmarkEnd w:id="171"/>
    </w:p>
    <w:p>
      <w:pPr>
        <w:spacing w:line="360" w:lineRule="auto"/>
        <w:ind w:firstLine="420" w:firstLineChars="200"/>
        <w:jc w:val="left"/>
        <w:rPr>
          <w:rFonts w:hint="default" w:ascii="Times New Roman" w:hAnsi="Times New Roman" w:cs="Times New Roman"/>
          <w:i w:val="0"/>
          <w:color w:val="000000" w:themeColor="text1"/>
          <w:sz w:val="20"/>
          <w:szCs w:val="24"/>
          <w:highlight w:val="none"/>
          <w:lang w:val="en-US"/>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 xml:space="preserve">V  </w:t>
      </w:r>
      <w:r>
        <w:rPr>
          <w:rFonts w:hint="default" w:ascii="Times New Roman" w:hAnsi="Times New Roman" w:cs="Times New Roman"/>
          <w:highlight w:val="none"/>
        </w:rPr>
        <w:t>——</w:t>
      </w:r>
      <w:r>
        <w:rPr>
          <w:rFonts w:hint="default" w:ascii="Times New Roman" w:hAnsi="Times New Roman" w:cs="Times New Roman"/>
          <w:highlight w:val="none"/>
          <w:lang w:val="en-US" w:eastAsia="zh-CN"/>
        </w:rPr>
        <w:t>预制构件产品消耗的</w:t>
      </w:r>
      <w:r>
        <w:rPr>
          <w:rFonts w:hint="default" w:ascii="Times New Roman" w:hAnsi="Times New Roman" w:cs="Times New Roman"/>
          <w:color w:val="000000" w:themeColor="text1"/>
          <w:highlight w:val="none"/>
          <w:lang w:val="en-US" w:eastAsia="zh-CN"/>
          <w14:textFill>
            <w14:solidFill>
              <w14:schemeClr w14:val="tx1"/>
            </w14:solidFill>
          </w14:textFill>
        </w:rPr>
        <w:t>混凝土用量（m</w:t>
      </w:r>
      <w:r>
        <w:rPr>
          <w:rFonts w:hint="default" w:ascii="Times New Roman" w:hAnsi="Times New Roman" w:cs="Times New Roman"/>
          <w:color w:val="000000" w:themeColor="text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highlight w:val="none"/>
          <w:lang w:val="en-US" w:eastAsia="zh-CN"/>
          <w14:textFill>
            <w14:solidFill>
              <w14:schemeClr w14:val="tx1"/>
            </w14:solidFill>
          </w14:textFill>
        </w:rPr>
        <w:t>）。</w:t>
      </w:r>
    </w:p>
    <w:p>
      <w:pPr>
        <w:pStyle w:val="111"/>
        <w:spacing w:before="156" w:after="156"/>
        <w:rPr>
          <w:rFonts w:hint="default" w:hAnsi="Times New Roman" w:cs="Times New Roman"/>
        </w:rPr>
      </w:pPr>
      <w:bookmarkStart w:id="172" w:name="_Toc1809"/>
      <w:r>
        <w:rPr>
          <w:rFonts w:hint="default" w:hAnsi="Times New Roman" w:cs="Times New Roman"/>
        </w:rPr>
        <w:t>原材料获取阶段</w:t>
      </w:r>
      <w:bookmarkEnd w:id="172"/>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原材料获取阶段的温室气体排放应包括原材料生产碳排放和原材料运输至生产企业大门的运输排放，</w:t>
      </w:r>
      <w:r>
        <w:rPr>
          <w:rFonts w:hint="eastAsia" w:ascii="Times New Roman" w:hAnsi="Times New Roman" w:cs="Times New Roman"/>
          <w:lang w:val="en-US" w:eastAsia="zh-CN"/>
        </w:rPr>
        <w:t>见公式（2）。</w:t>
      </w:r>
    </w:p>
    <w:p>
      <w:pPr>
        <w:pStyle w:val="62"/>
        <w:spacing w:line="360" w:lineRule="auto"/>
        <w:ind w:firstLine="0" w:firstLineChars="0"/>
        <w:jc w:val="center"/>
        <w:rPr>
          <w:rFonts w:hint="default" w:ascii="Times New Roman" w:hAnsi="Times New Roman" w:cs="Times New Roman"/>
          <w:color w:val="000000" w:themeColor="text1"/>
          <w:szCs w:val="21"/>
          <w14:textFill>
            <w14:solidFill>
              <w14:schemeClr w14:val="tx1"/>
            </w14:solidFill>
          </w14:textFill>
        </w:rPr>
      </w:pPr>
      <w:bookmarkStart w:id="173" w:name="OLE_LINK45"/>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C</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CL</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nary>
          <m:naryPr>
            <m:chr m:val="∑"/>
            <m:limLoc m:val="undOvr"/>
            <m:ctrlPr>
              <w:rPr>
                <w:rFonts w:hint="default" w:ascii="Cambria Math" w:hAnsi="Cambria Math" w:cs="Times New Roman"/>
                <w:i/>
                <w:color w:val="000000" w:themeColor="text1"/>
                <w:sz w:val="21"/>
                <w:szCs w:val="21"/>
                <w14:textFill>
                  <w14:solidFill>
                    <w14:schemeClr w14:val="tx1"/>
                  </w14:solidFill>
                </w14:textFill>
              </w:rPr>
            </m:ctrlPr>
          </m:naryPr>
          <m:sub>
            <m:r>
              <m:rPr/>
              <w:rPr>
                <w:rFonts w:hint="default" w:ascii="Cambria Math" w:hAnsi="Cambria Math" w:cs="Times New Roman"/>
                <w:color w:val="000000" w:themeColor="text1"/>
                <w:sz w:val="21"/>
                <w:szCs w:val="21"/>
                <w14:textFill>
                  <w14:solidFill>
                    <w14:schemeClr w14:val="tx1"/>
                  </w14:solidFill>
                </w14:textFill>
              </w:rPr>
              <m:t>i</m:t>
            </m:r>
            <m:ctrlPr>
              <w:rPr>
                <w:rFonts w:hint="default" w:ascii="Cambria Math" w:hAnsi="Cambria Math" w:cs="Times New Roman"/>
                <w:i/>
                <w:color w:val="000000" w:themeColor="text1"/>
                <w:sz w:val="21"/>
                <w:szCs w:val="21"/>
                <w14:textFill>
                  <w14:solidFill>
                    <w14:schemeClr w14:val="tx1"/>
                  </w14:solidFill>
                </w14:textFill>
              </w:rPr>
            </m:ctrlPr>
          </m:sub>
          <m:sup>
            <m:ctrlPr>
              <w:rPr>
                <w:rFonts w:hint="default" w:ascii="Cambria Math" w:hAnsi="Cambria Math" w:cs="Times New Roman"/>
                <w:i/>
                <w:color w:val="000000" w:themeColor="text1"/>
                <w:sz w:val="21"/>
                <w:szCs w:val="21"/>
                <w14:textFill>
                  <w14:solidFill>
                    <w14:schemeClr w14:val="tx1"/>
                  </w14:solidFill>
                </w14:textFill>
              </w:rPr>
            </m:ctrlPr>
          </m:sup>
          <m:e>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i</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i</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i</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D</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i</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T</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i</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w:bookmarkEnd w:id="173"/>
            <m:ctrlPr>
              <w:rPr>
                <w:rFonts w:hint="default" w:ascii="Cambria Math" w:hAnsi="Cambria Math" w:cs="Times New Roman"/>
                <w:i/>
                <w:color w:val="000000" w:themeColor="text1"/>
                <w:sz w:val="21"/>
                <w:szCs w:val="21"/>
                <w14:textFill>
                  <w14:solidFill>
                    <w14:schemeClr w14:val="tx1"/>
                  </w14:solidFill>
                </w14:textFill>
              </w:rPr>
            </m:ctrlPr>
          </m:e>
        </m:nary>
      </m:oMath>
      <w:r>
        <w:rPr>
          <w:rFonts w:hint="default" w:ascii="Times New Roman" w:hAnsi="Times New Roman" w:cs="Times New Roman"/>
          <w:color w:val="000000" w:themeColor="text1"/>
          <w:szCs w:val="21"/>
          <w14:textFill>
            <w14:solidFill>
              <w14:schemeClr w14:val="tx1"/>
            </w14:solidFill>
          </w14:textFill>
        </w:rPr>
        <w:t xml:space="preserve">            （2）</w:t>
      </w:r>
    </w:p>
    <w:p>
      <w:pPr>
        <w:snapToGrid w:val="0"/>
        <w:spacing w:line="360" w:lineRule="auto"/>
        <w:ind w:firstLine="42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式中：</w:t>
      </w:r>
    </w:p>
    <w:p>
      <w:pPr>
        <w:snapToGrid w:val="0"/>
        <w:spacing w:line="360" w:lineRule="auto"/>
        <w:ind w:firstLine="420" w:firstLineChars="200"/>
        <w:jc w:val="left"/>
        <w:rPr>
          <w:rFonts w:hint="default" w:ascii="Times New Roman" w:hAnsi="Times New Roman" w:cs="Times New Roman"/>
          <w:color w:val="000000" w:themeColor="text1"/>
          <w14:textFill>
            <w14:solidFill>
              <w14:schemeClr w14:val="tx1"/>
            </w14:solidFill>
          </w14:textFill>
        </w:rPr>
      </w:pPr>
      <w:bookmarkStart w:id="174" w:name="OLE_LINK53"/>
      <m:oMath>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C</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CL</m:t>
            </m:r>
            <m:ctrlPr>
              <w:rPr>
                <w:rFonts w:hint="default" w:ascii="Cambria Math" w:hAnsi="Cambria Math" w:cs="Times New Roman"/>
                <w:i/>
                <w:color w:val="000000" w:themeColor="text1"/>
                <w14:textFill>
                  <w14:solidFill>
                    <w14:schemeClr w14:val="tx1"/>
                  </w14:solidFill>
                </w14:textFill>
              </w:rPr>
            </m:ctrlPr>
          </m:sub>
        </m:sSub>
      </m:oMath>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rPr>
        <w:t>——原材料获取阶段温室气体排放量，单位为千克二氧化碳当量</w:t>
      </w:r>
      <w:r>
        <w:rPr>
          <w:rFonts w:hint="default" w:ascii="Times New Roman" w:hAnsi="Times New Roman" w:cs="Times New Roman"/>
          <w:lang w:eastAsia="zh-CN"/>
        </w:rPr>
        <w:t>（</w:t>
      </w:r>
      <w:r>
        <w:rPr>
          <w:rFonts w:hint="default" w:ascii="Times New Roman" w:hAnsi="Times New Roman" w:cs="Times New Roman"/>
          <w:color w:val="000000" w:themeColor="text1"/>
          <w:lang w:val="en-US" w:eastAsia="zh-CN"/>
          <w14:textFill>
            <w14:solidFill>
              <w14:schemeClr w14:val="tx1"/>
            </w14:solidFill>
          </w14:textFill>
        </w:rPr>
        <w:t>kg</w:t>
      </w:r>
      <w:r>
        <w:rPr>
          <w:rFonts w:hint="default" w:ascii="Times New Roman" w:hAnsi="Times New Roman" w:cs="Times New Roman"/>
          <w:color w:val="000000" w:themeColor="text1"/>
          <w14:textFill>
            <w14:solidFill>
              <w14:schemeClr w14:val="tx1"/>
            </w14:solidFill>
          </w14:textFill>
        </w:rPr>
        <w:t>CO</w:t>
      </w:r>
      <w:r>
        <w:rPr>
          <w:rFonts w:hint="default" w:ascii="Times New Roman" w:hAnsi="Times New Roman" w:cs="Times New Roman"/>
          <w:color w:val="000000" w:themeColor="text1"/>
          <w:vertAlign w:val="sub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e</w:t>
      </w:r>
      <w:r>
        <w:rPr>
          <w:rFonts w:hint="default" w:ascii="Times New Roman" w:hAnsi="Times New Roman" w:cs="Times New Roman"/>
          <w:lang w:eastAsia="zh-CN"/>
        </w:rPr>
        <w:t>）</w:t>
      </w:r>
      <w:r>
        <w:rPr>
          <w:rFonts w:hint="default" w:ascii="Times New Roman" w:hAnsi="Times New Roman" w:cs="Times New Roman"/>
          <w:color w:val="000000" w:themeColor="text1"/>
          <w14:textFill>
            <w14:solidFill>
              <w14:schemeClr w14:val="tx1"/>
            </w14:solidFill>
          </w14:textFill>
        </w:rPr>
        <w:t>；</w:t>
      </w:r>
      <w:bookmarkEnd w:id="174"/>
    </w:p>
    <w:p>
      <w:pPr>
        <w:snapToGrid w:val="0"/>
        <w:spacing w:line="360" w:lineRule="auto"/>
        <w:ind w:firstLine="420" w:firstLineChars="200"/>
        <w:jc w:val="left"/>
        <w:rPr>
          <w:rFonts w:hint="default" w:ascii="Times New Roman" w:hAnsi="Times New Roman" w:cs="Times New Roman"/>
          <w:color w:val="000000" w:themeColor="text1"/>
          <w14:textFill>
            <w14:solidFill>
              <w14:schemeClr w14:val="tx1"/>
            </w14:solidFill>
          </w14:textFill>
        </w:rPr>
      </w:pPr>
      <w:bookmarkStart w:id="175" w:name="OLE_LINK8"/>
      <m:oMath>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E</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i</m:t>
            </m:r>
            <w:bookmarkEnd w:id="175"/>
            <m:ctrlPr>
              <w:rPr>
                <w:rFonts w:hint="default" w:ascii="Cambria Math" w:hAnsi="Cambria Math" w:cs="Times New Roman"/>
                <w:i/>
                <w:color w:val="000000" w:themeColor="text1"/>
                <w14:textFill>
                  <w14:solidFill>
                    <w14:schemeClr w14:val="tx1"/>
                  </w14:solidFill>
                </w14:textFill>
              </w:rPr>
            </m:ctrlPr>
          </m:sub>
        </m:sSub>
      </m:oMath>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rPr>
        <w:t>——获取阶段原材料</w:t>
      </w:r>
      <w:bookmarkStart w:id="176" w:name="OLE_LINK7"/>
      <w:r>
        <w:rPr>
          <w:rFonts w:hint="default" w:ascii="Times New Roman" w:hAnsi="Times New Roman" w:cs="Times New Roman"/>
        </w:rPr>
        <w:t>i</w:t>
      </w:r>
      <w:bookmarkEnd w:id="176"/>
      <w:r>
        <w:rPr>
          <w:rFonts w:hint="default" w:ascii="Times New Roman" w:hAnsi="Times New Roman" w:cs="Times New Roman"/>
          <w:lang w:val="en-US" w:eastAsia="zh-CN"/>
        </w:rPr>
        <w:t>的</w:t>
      </w:r>
      <w:r>
        <w:rPr>
          <w:rFonts w:hint="default" w:ascii="Times New Roman" w:hAnsi="Times New Roman" w:cs="Times New Roman"/>
        </w:rPr>
        <w:t>消耗量，</w:t>
      </w:r>
      <w:bookmarkStart w:id="177" w:name="OLE_LINK56"/>
      <w:r>
        <w:rPr>
          <w:rFonts w:hint="default" w:ascii="Times New Roman" w:hAnsi="Times New Roman" w:cs="Times New Roman"/>
        </w:rPr>
        <w:t>单位为</w:t>
      </w:r>
      <w:r>
        <w:rPr>
          <w:rFonts w:hint="default" w:ascii="Times New Roman" w:hAnsi="Times New Roman" w:cs="Times New Roman"/>
          <w:lang w:val="en-US" w:eastAsia="zh-CN"/>
        </w:rPr>
        <w:t>吨</w:t>
      </w:r>
      <w:r>
        <w:rPr>
          <w:rFonts w:hint="default" w:ascii="Times New Roman" w:hAnsi="Times New Roman" w:cs="Times New Roman"/>
        </w:rPr>
        <w:t>（</w:t>
      </w:r>
      <w:r>
        <w:rPr>
          <w:rFonts w:hint="default" w:ascii="Times New Roman" w:hAnsi="Times New Roman" w:cs="Times New Roman"/>
          <w:lang w:val="en-US" w:eastAsia="zh-CN"/>
        </w:rPr>
        <w:t>t</w:t>
      </w:r>
      <w:r>
        <w:rPr>
          <w:rFonts w:hint="default" w:ascii="Times New Roman" w:hAnsi="Times New Roman" w:cs="Times New Roman"/>
        </w:rPr>
        <w:t>）</w:t>
      </w:r>
      <w:r>
        <w:rPr>
          <w:rFonts w:hint="default" w:ascii="Times New Roman" w:hAnsi="Times New Roman" w:cs="Times New Roman"/>
          <w:lang w:eastAsia="zh-CN"/>
        </w:rPr>
        <w:t>、</w:t>
      </w:r>
      <w:r>
        <w:rPr>
          <w:rFonts w:hint="default" w:ascii="Times New Roman" w:hAnsi="Times New Roman" w:cs="Times New Roman"/>
        </w:rPr>
        <w:t>立方米（m</w:t>
      </w:r>
      <w:r>
        <w:rPr>
          <w:rFonts w:hint="default" w:ascii="Times New Roman" w:hAnsi="Times New Roman" w:cs="Times New Roman"/>
          <w:vertAlign w:val="superscript"/>
        </w:rPr>
        <w:t>3</w:t>
      </w:r>
      <w:r>
        <w:rPr>
          <w:rFonts w:hint="default" w:ascii="Times New Roman" w:hAnsi="Times New Roman" w:cs="Times New Roman"/>
        </w:rPr>
        <w:t>）等</w:t>
      </w:r>
      <w:r>
        <w:rPr>
          <w:rFonts w:hint="default" w:ascii="Times New Roman" w:hAnsi="Times New Roman" w:cs="Times New Roman"/>
          <w:color w:val="000000" w:themeColor="text1"/>
          <w14:textFill>
            <w14:solidFill>
              <w14:schemeClr w14:val="tx1"/>
            </w14:solidFill>
          </w14:textFill>
        </w:rPr>
        <w:t>；</w:t>
      </w:r>
      <w:bookmarkEnd w:id="177"/>
    </w:p>
    <w:p>
      <w:pPr>
        <w:snapToGrid w:val="0"/>
        <w:spacing w:line="360" w:lineRule="auto"/>
        <w:ind w:firstLine="420" w:firstLineChars="200"/>
        <w:jc w:val="left"/>
        <w:rPr>
          <w:rFonts w:hint="default" w:ascii="Times New Roman" w:hAnsi="Times New Roman" w:cs="Times New Roman"/>
        </w:rPr>
      </w:pPr>
      <m:oMath>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EF</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i</m:t>
            </m:r>
            <m:ctrlPr>
              <w:rPr>
                <w:rFonts w:hint="default" w:ascii="Cambria Math" w:hAnsi="Cambria Math" w:cs="Times New Roman"/>
                <w:i/>
                <w:color w:val="000000" w:themeColor="text1"/>
                <w14:textFill>
                  <w14:solidFill>
                    <w14:schemeClr w14:val="tx1"/>
                  </w14:solidFill>
                </w14:textFill>
              </w:rPr>
            </m:ctrlPr>
          </m:sub>
        </m:sSub>
      </m:oMath>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rPr>
        <w:t>——对应原材料i的</w:t>
      </w:r>
      <w:r>
        <w:rPr>
          <w:rFonts w:hint="default" w:ascii="Times New Roman" w:hAnsi="Times New Roman" w:cs="Times New Roman"/>
          <w:lang w:val="en-US" w:eastAsia="zh-CN"/>
        </w:rPr>
        <w:t>碳</w:t>
      </w:r>
      <w:r>
        <w:rPr>
          <w:rFonts w:hint="default" w:ascii="Times New Roman" w:hAnsi="Times New Roman" w:cs="Times New Roman"/>
        </w:rPr>
        <w:t>排放因子</w:t>
      </w:r>
      <w:r>
        <w:rPr>
          <w:rFonts w:hint="default" w:ascii="Times New Roman" w:hAnsi="Times New Roman" w:cs="Times New Roman"/>
          <w:lang w:eastAsia="zh-CN"/>
        </w:rPr>
        <w:t>，</w:t>
      </w:r>
      <w:r>
        <w:rPr>
          <w:rFonts w:hint="default" w:ascii="Times New Roman" w:hAnsi="Times New Roman" w:cs="Times New Roman"/>
          <w:lang w:val="en-US" w:eastAsia="zh-CN"/>
        </w:rPr>
        <w:t>单位为</w:t>
      </w:r>
      <w:r>
        <w:rPr>
          <w:rFonts w:hint="default" w:ascii="Times New Roman" w:hAnsi="Times New Roman" w:cs="Times New Roman"/>
        </w:rPr>
        <w:t>（</w:t>
      </w:r>
      <w:r>
        <w:rPr>
          <w:rFonts w:hint="default" w:ascii="Times New Roman" w:hAnsi="Times New Roman" w:cs="Times New Roman"/>
          <w:color w:val="000000" w:themeColor="text1"/>
          <w14:textFill>
            <w14:solidFill>
              <w14:schemeClr w14:val="tx1"/>
            </w14:solidFill>
          </w14:textFill>
        </w:rPr>
        <w:t>tCO</w:t>
      </w:r>
      <w:r>
        <w:rPr>
          <w:rFonts w:hint="default" w:ascii="Times New Roman" w:hAnsi="Times New Roman" w:cs="Times New Roman"/>
          <w:color w:val="000000" w:themeColor="text1"/>
          <w:vertAlign w:val="sub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e/t或tCO</w:t>
      </w:r>
      <w:r>
        <w:rPr>
          <w:rFonts w:hint="default" w:ascii="Times New Roman" w:hAnsi="Times New Roman" w:cs="Times New Roman"/>
          <w:color w:val="000000" w:themeColor="text1"/>
          <w:vertAlign w:val="sub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e/m</w:t>
      </w:r>
      <w:r>
        <w:rPr>
          <w:rFonts w:hint="default" w:ascii="Times New Roman" w:hAnsi="Times New Roman" w:cs="Times New Roman"/>
          <w:color w:val="000000" w:themeColor="text1"/>
          <w:vertAlign w:val="superscript"/>
          <w14:textFill>
            <w14:solidFill>
              <w14:schemeClr w14:val="tx1"/>
            </w14:solidFill>
          </w14:textFill>
        </w:rPr>
        <w:t>3</w:t>
      </w:r>
      <w:r>
        <w:rPr>
          <w:rFonts w:hint="default" w:ascii="Times New Roman" w:hAnsi="Times New Roman" w:cs="Times New Roman"/>
        </w:rPr>
        <w:t>）；</w:t>
      </w:r>
    </w:p>
    <w:p>
      <w:pPr>
        <w:snapToGrid w:val="0"/>
        <w:spacing w:line="360" w:lineRule="auto"/>
        <w:ind w:firstLine="420" w:firstLineChars="200"/>
        <w:jc w:val="left"/>
        <w:rPr>
          <w:rFonts w:hint="default" w:ascii="Times New Roman" w:hAnsi="Times New Roman" w:cs="Times New Roman"/>
          <w:color w:val="000000"/>
        </w:rPr>
      </w:pPr>
      <m:oMath>
        <m:sSub>
          <w:bookmarkStart w:id="178" w:name="OLE_LINK42"/>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D</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i</m:t>
            </m:r>
            <m:ctrlPr>
              <w:rPr>
                <w:rFonts w:hint="default" w:ascii="Cambria Math" w:hAnsi="Cambria Math" w:cs="Times New Roman"/>
                <w:i/>
                <w:color w:val="000000" w:themeColor="text1"/>
                <w14:textFill>
                  <w14:solidFill>
                    <w14:schemeClr w14:val="tx1"/>
                  </w14:solidFill>
                </w14:textFill>
              </w:rPr>
            </m:ctrlPr>
          </m:sub>
        </m:sSub>
      </m:oMath>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rPr>
        <w:t>——</w:t>
      </w:r>
      <w:bookmarkEnd w:id="178"/>
      <w:r>
        <w:rPr>
          <w:rFonts w:hint="default" w:ascii="Times New Roman" w:hAnsi="Times New Roman" w:cs="Times New Roman"/>
          <w:color w:val="000000"/>
        </w:rPr>
        <w:t>对应原材料i</w:t>
      </w:r>
      <w:r>
        <w:rPr>
          <w:rFonts w:hint="default" w:ascii="Times New Roman" w:hAnsi="Times New Roman" w:cs="Times New Roman"/>
          <w:color w:val="000000"/>
          <w:lang w:val="en-US" w:eastAsia="zh-CN"/>
        </w:rPr>
        <w:t>的运输距离</w:t>
      </w:r>
      <w:r>
        <w:rPr>
          <w:rFonts w:hint="default" w:ascii="Times New Roman" w:hAnsi="Times New Roman" w:cs="Times New Roman"/>
          <w:color w:val="000000"/>
        </w:rPr>
        <w:t>，单位</w:t>
      </w:r>
      <w:r>
        <w:rPr>
          <w:rFonts w:hint="default" w:ascii="Times New Roman" w:hAnsi="Times New Roman" w:cs="Times New Roman"/>
          <w:color w:val="000000"/>
          <w:lang w:val="en-US" w:eastAsia="zh-CN"/>
        </w:rPr>
        <w:t>为</w:t>
      </w:r>
      <w:r>
        <w:rPr>
          <w:rFonts w:hint="default" w:ascii="Times New Roman" w:hAnsi="Times New Roman" w:cs="Times New Roman"/>
          <w:color w:val="000000"/>
        </w:rPr>
        <w:t>千米（km）；</w:t>
      </w:r>
    </w:p>
    <w:p>
      <w:pPr>
        <w:snapToGrid w:val="0"/>
        <w:spacing w:line="360" w:lineRule="auto"/>
        <w:ind w:firstLine="420" w:firstLineChars="200"/>
        <w:jc w:val="left"/>
        <w:rPr>
          <w:rFonts w:hint="default" w:ascii="Times New Roman" w:hAnsi="Times New Roman" w:cs="Times New Roman"/>
          <w:color w:val="000000"/>
        </w:rPr>
      </w:pPr>
      <w:bookmarkStart w:id="179" w:name="OLE_LINK61"/>
      <m:oMath>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lang w:val="en-US" w:eastAsia="zh-CN"/>
                <w14:textFill>
                  <w14:solidFill>
                    <w14:schemeClr w14:val="tx1"/>
                  </w14:solidFill>
                </w14:textFill>
              </w:rPr>
              <m:t>T</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i</m:t>
            </m:r>
            <m:ctrlPr>
              <w:rPr>
                <w:rFonts w:hint="default" w:ascii="Cambria Math" w:hAnsi="Cambria Math" w:cs="Times New Roman"/>
                <w:i/>
                <w:color w:val="000000" w:themeColor="text1"/>
                <w14:textFill>
                  <w14:solidFill>
                    <w14:schemeClr w14:val="tx1"/>
                  </w14:solidFill>
                </w14:textFill>
              </w:rPr>
            </m:ctrlPr>
          </m:sub>
        </m:sSub>
      </m:oMath>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rPr>
        <w:t>——</w:t>
      </w:r>
      <w:r>
        <w:rPr>
          <w:rFonts w:hint="default" w:ascii="Times New Roman" w:hAnsi="Times New Roman" w:cs="Times New Roman"/>
          <w:color w:val="000000"/>
        </w:rPr>
        <w:t>对应原材料i</w:t>
      </w:r>
      <w:r>
        <w:rPr>
          <w:rFonts w:hint="default" w:ascii="Times New Roman" w:hAnsi="Times New Roman" w:cs="Times New Roman"/>
          <w:color w:val="000000"/>
          <w:lang w:val="en-US" w:eastAsia="zh-CN"/>
        </w:rPr>
        <w:t>的运输因子，</w:t>
      </w:r>
      <w:r>
        <w:rPr>
          <w:rFonts w:hint="default" w:ascii="Times New Roman" w:hAnsi="Times New Roman" w:cs="Times New Roman"/>
          <w:color w:val="000000"/>
        </w:rPr>
        <w:t>单位</w:t>
      </w:r>
      <w:r>
        <w:rPr>
          <w:rFonts w:hint="default" w:ascii="Times New Roman" w:hAnsi="Times New Roman" w:cs="Times New Roman"/>
          <w:color w:val="000000"/>
          <w:lang w:val="en-US" w:eastAsia="zh-CN"/>
        </w:rPr>
        <w:t>重量运输距离的碳排放因子</w:t>
      </w:r>
      <w:r>
        <w:rPr>
          <w:rFonts w:hint="default" w:ascii="Times New Roman" w:hAnsi="Times New Roman" w:cs="Times New Roman"/>
          <w:color w:val="000000"/>
        </w:rPr>
        <w:t>（kgCO</w:t>
      </w:r>
      <w:r>
        <w:rPr>
          <w:rFonts w:hint="default" w:ascii="Times New Roman" w:hAnsi="Times New Roman" w:cs="Times New Roman"/>
          <w:color w:val="000000"/>
          <w:vertAlign w:val="subscript"/>
        </w:rPr>
        <w:t>2</w:t>
      </w:r>
      <w:r>
        <w:rPr>
          <w:rFonts w:hint="default" w:ascii="Times New Roman" w:hAnsi="Times New Roman" w:cs="Times New Roman"/>
          <w:color w:val="000000"/>
        </w:rPr>
        <w:t>e/</w:t>
      </w:r>
      <w:r>
        <w:rPr>
          <w:rFonts w:hint="default" w:ascii="Times New Roman" w:hAnsi="Times New Roman" w:cs="Times New Roman"/>
          <w:color w:val="000000"/>
          <w:lang w:val="en-US" w:eastAsia="zh-CN"/>
        </w:rPr>
        <w:t>t</w:t>
      </w:r>
      <w:r>
        <w:rPr>
          <w:rFonts w:hint="default" w:ascii="Times New Roman" w:hAnsi="Times New Roman" w:cs="Times New Roman"/>
          <w:color w:val="000000"/>
        </w:rPr>
        <w:t>·km）。</w:t>
      </w:r>
      <w:bookmarkEnd w:id="179"/>
    </w:p>
    <w:p>
      <w:pPr>
        <w:pStyle w:val="111"/>
        <w:spacing w:before="156" w:after="156"/>
        <w:rPr>
          <w:rFonts w:hint="default" w:hAnsi="Times New Roman" w:cs="Times New Roman"/>
        </w:rPr>
      </w:pPr>
      <w:bookmarkStart w:id="180" w:name="_Toc30330"/>
      <w:r>
        <w:rPr>
          <w:rFonts w:hint="default" w:hAnsi="Times New Roman" w:cs="Times New Roman"/>
        </w:rPr>
        <w:t>生产制造阶段</w:t>
      </w:r>
      <w:bookmarkEnd w:id="180"/>
    </w:p>
    <w:p>
      <w:pPr>
        <w:pStyle w:val="62"/>
        <w:spacing w:line="360" w:lineRule="auto"/>
        <w:ind w:firstLine="420"/>
        <w:rPr>
          <w:rFonts w:hint="default" w:ascii="Times New Roman" w:hAnsi="Times New Roman" w:cs="Times New Roman"/>
          <w:szCs w:val="21"/>
        </w:rPr>
      </w:pPr>
      <w:r>
        <w:rPr>
          <w:rFonts w:hint="default" w:ascii="Times New Roman" w:hAnsi="Times New Roman" w:cs="Times New Roman"/>
          <w:szCs w:val="21"/>
        </w:rPr>
        <w:t>生产制造阶段温室气体排放</w:t>
      </w:r>
      <w:r>
        <w:rPr>
          <w:rFonts w:hint="eastAsia" w:ascii="Times New Roman" w:cs="Times New Roman"/>
          <w:szCs w:val="21"/>
          <w:lang w:val="en-US" w:eastAsia="zh-CN"/>
        </w:rPr>
        <w:t>计算方法见公式（3）。</w:t>
      </w:r>
    </w:p>
    <w:p>
      <w:pPr>
        <w:pStyle w:val="62"/>
        <w:spacing w:line="360" w:lineRule="auto"/>
        <w:ind w:firstLine="0" w:firstLineChars="0"/>
        <w:jc w:val="center"/>
        <w:rPr>
          <w:rFonts w:hint="default" w:ascii="Times New Roman" w:hAnsi="Times New Roman" w:cs="Times New Roman"/>
          <w:color w:val="000000" w:themeColor="text1"/>
          <w:szCs w:val="21"/>
          <w14:textFill>
            <w14:solidFill>
              <w14:schemeClr w14:val="tx1"/>
            </w14:solidFill>
          </w14:textFill>
        </w:rPr>
      </w:pPr>
      <m:oMath>
        <m:sSub>
          <w:bookmarkStart w:id="181" w:name="OLE_LINK51"/>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C</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SC</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nary>
          <m:naryPr>
            <m:chr m:val="∑"/>
            <m:limLoc m:val="undOvr"/>
            <m:ctrlPr>
              <w:rPr>
                <w:rFonts w:hint="default" w:ascii="Cambria Math" w:hAnsi="Cambria Math" w:cs="Times New Roman"/>
                <w:i/>
                <w:color w:val="000000" w:themeColor="text1"/>
                <w:sz w:val="21"/>
                <w:szCs w:val="21"/>
                <w14:textFill>
                  <w14:solidFill>
                    <w14:schemeClr w14:val="tx1"/>
                  </w14:solidFill>
                </w14:textFill>
              </w:rPr>
            </m:ctrlPr>
          </m:naryPr>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up>
            <m:ctrlPr>
              <w:rPr>
                <w:rFonts w:hint="default" w:ascii="Cambria Math" w:hAnsi="Cambria Math" w:cs="Times New Roman"/>
                <w:i/>
                <w:color w:val="000000" w:themeColor="text1"/>
                <w:sz w:val="21"/>
                <w:szCs w:val="21"/>
                <w14:textFill>
                  <w14:solidFill>
                    <w14:schemeClr w14:val="tx1"/>
                  </w14:solidFill>
                </w14:textFill>
              </w:rPr>
            </m:ctrlPr>
          </m:sup>
          <m:e>
            <m:r>
              <m:rPr/>
              <w:rPr>
                <w:rFonts w:hint="default" w:ascii="Cambria Math" w:hAnsi="Cambria Math" w:cs="Times New Roman"/>
                <w:color w:val="000000" w:themeColor="text1"/>
                <w:sz w:val="21"/>
                <w:szCs w:val="21"/>
                <w14:textFill>
                  <w14:solidFill>
                    <w14:schemeClr w14:val="tx1"/>
                  </w14:solidFill>
                </w14:textFill>
              </w:rPr>
              <m:t>(</m:t>
            </m:r>
            <w:bookmarkStart w:id="182" w:name="OLE_LINK46"/>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N</m:t>
                </m:r>
                <w:bookmarkEnd w:id="182"/>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w:bookmarkStart w:id="183" w:name="OLE_LINK47"/>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EF</m:t>
                </m:r>
                <w:bookmarkEnd w:id="183"/>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H</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w:bookmarkEnd w:id="181"/>
            <m:ctrlPr>
              <w:rPr>
                <w:rFonts w:hint="default" w:ascii="Cambria Math" w:hAnsi="Cambria Math" w:cs="Times New Roman"/>
                <w:i/>
                <w:color w:val="000000" w:themeColor="text1"/>
                <w:sz w:val="21"/>
                <w:szCs w:val="21"/>
                <w14:textFill>
                  <w14:solidFill>
                    <w14:schemeClr w14:val="tx1"/>
                  </w14:solidFill>
                </w14:textFill>
              </w:rPr>
            </m:ctrlPr>
          </m:e>
        </m:nary>
      </m:oMath>
      <w:r>
        <w:rPr>
          <w:rFonts w:hint="default" w:ascii="Times New Roman" w:hAnsi="Times New Roman" w:cs="Times New Roman"/>
          <w:color w:val="000000" w:themeColor="text1"/>
          <w:szCs w:val="21"/>
          <w14:textFill>
            <w14:solidFill>
              <w14:schemeClr w14:val="tx1"/>
            </w14:solidFill>
          </w14:textFill>
        </w:rPr>
        <w:t xml:space="preserve">            （3）</w:t>
      </w:r>
    </w:p>
    <w:p>
      <w:pPr>
        <w:snapToGrid w:val="0"/>
        <w:spacing w:line="360" w:lineRule="auto"/>
        <w:ind w:firstLine="42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式中：</w:t>
      </w:r>
    </w:p>
    <w:p>
      <w:pPr>
        <w:snapToGrid w:val="0"/>
        <w:spacing w:line="360" w:lineRule="auto"/>
        <w:ind w:firstLine="420" w:firstLineChars="200"/>
        <w:jc w:val="left"/>
        <w:rPr>
          <w:rFonts w:hint="default" w:ascii="Times New Roman" w:hAnsi="Times New Roman" w:cs="Times New Roman"/>
          <w:color w:val="000000" w:themeColor="text1"/>
          <w:sz w:val="21"/>
          <w:szCs w:val="21"/>
          <w14:textFill>
            <w14:solidFill>
              <w14:schemeClr w14:val="tx1"/>
            </w14:solidFill>
          </w14:textFill>
        </w:rPr>
      </w:pPr>
      <w:bookmarkStart w:id="184" w:name="OLE_LINK54"/>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C</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SC</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sz w:val="21"/>
          <w:szCs w:val="21"/>
        </w:rPr>
        <w:t>——生产制造阶段温室气体排放量，单位为千克二氧化碳当量</w:t>
      </w:r>
      <w:r>
        <w:rPr>
          <w:rFonts w:hint="default" w:ascii="Times New Roman" w:hAnsi="Times New Roman" w:cs="Times New Roman"/>
          <w:sz w:val="21"/>
          <w:szCs w:val="21"/>
          <w:lang w:eastAsia="zh-CN"/>
        </w:rPr>
        <w:t>（</w:t>
      </w:r>
      <w:r>
        <w:rPr>
          <w:rFonts w:hint="default" w:ascii="Times New Roman" w:hAnsi="Times New Roman" w:cs="Times New Roman"/>
          <w:color w:val="000000" w:themeColor="text1"/>
          <w:sz w:val="21"/>
          <w:szCs w:val="21"/>
          <w:lang w:val="en-US" w:eastAsia="zh-CN"/>
          <w14:textFill>
            <w14:solidFill>
              <w14:schemeClr w14:val="tx1"/>
            </w14:solidFill>
          </w14:textFill>
        </w:rPr>
        <w:t>kg</w:t>
      </w:r>
      <w:r>
        <w:rPr>
          <w:rFonts w:hint="default" w:ascii="Times New Roman" w:hAnsi="Times New Roman" w:cs="Times New Roman"/>
          <w:color w:val="000000" w:themeColor="text1"/>
          <w:sz w:val="21"/>
          <w:szCs w:val="21"/>
          <w14:textFill>
            <w14:solidFill>
              <w14:schemeClr w14:val="tx1"/>
            </w14:solidFill>
          </w14:textFill>
        </w:rPr>
        <w:t>CO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e</w:t>
      </w:r>
      <w:r>
        <w:rPr>
          <w:rFonts w:hint="default" w:ascii="Times New Roman" w:hAnsi="Times New Roman" w:cs="Times New Roman"/>
          <w:sz w:val="21"/>
          <w:szCs w:val="21"/>
          <w:lang w:eastAsia="zh-CN"/>
        </w:rPr>
        <w:t>）</w:t>
      </w:r>
      <w:r>
        <w:rPr>
          <w:rFonts w:hint="default" w:ascii="Times New Roman" w:hAnsi="Times New Roman" w:cs="Times New Roman"/>
          <w:color w:val="000000" w:themeColor="text1"/>
          <w:sz w:val="21"/>
          <w:szCs w:val="21"/>
          <w14:textFill>
            <w14:solidFill>
              <w14:schemeClr w14:val="tx1"/>
            </w14:solidFill>
          </w14:textFill>
        </w:rPr>
        <w:t>；</w:t>
      </w:r>
      <w:bookmarkEnd w:id="184"/>
    </w:p>
    <w:p>
      <w:pPr>
        <w:snapToGrid w:val="0"/>
        <w:spacing w:line="360" w:lineRule="auto"/>
        <w:ind w:firstLine="420" w:firstLineChars="200"/>
        <w:jc w:val="left"/>
        <w:rPr>
          <w:rFonts w:hint="default" w:ascii="Times New Roman" w:hAnsi="Times New Roman" w:cs="Times New Roman"/>
          <w:sz w:val="21"/>
          <w:szCs w:val="21"/>
        </w:rPr>
      </w:pPr>
      <m:oMath>
        <m:sSub>
          <w:bookmarkStart w:id="185" w:name="OLE_LINK60"/>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N</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sz w:val="21"/>
          <w:szCs w:val="21"/>
        </w:rPr>
        <w:t>——生产制造阶段第</w:t>
      </w:r>
      <w:r>
        <w:rPr>
          <w:rFonts w:hint="default" w:ascii="Times New Roman" w:hAnsi="Times New Roman" w:cs="Times New Roman"/>
          <w:sz w:val="21"/>
          <w:szCs w:val="21"/>
          <w:lang w:val="en-US" w:eastAsia="zh-CN"/>
        </w:rPr>
        <w:t>j</w:t>
      </w:r>
      <w:r>
        <w:rPr>
          <w:rFonts w:hint="default" w:ascii="Times New Roman" w:hAnsi="Times New Roman" w:cs="Times New Roman"/>
          <w:sz w:val="21"/>
          <w:szCs w:val="21"/>
        </w:rPr>
        <w:t>种能源的消耗量，单位为吨或千瓦时（t或kWh）；</w:t>
      </w:r>
    </w:p>
    <w:p>
      <w:pPr>
        <w:snapToGrid w:val="0"/>
        <w:spacing w:line="360" w:lineRule="auto"/>
        <w:ind w:firstLine="420" w:firstLineChars="200"/>
        <w:jc w:val="left"/>
        <w:rPr>
          <w:rFonts w:hint="default" w:ascii="Times New Roman" w:hAnsi="Times New Roman" w:cs="Times New Roman"/>
          <w:sz w:val="21"/>
          <w:szCs w:val="21"/>
        </w:rPr>
      </w:pPr>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sz w:val="21"/>
          <w:szCs w:val="21"/>
        </w:rPr>
        <w:t>——生产制造</w:t>
      </w:r>
      <w:r>
        <w:rPr>
          <w:rFonts w:hint="default" w:ascii="Times New Roman" w:hAnsi="Times New Roman" w:cs="Times New Roman"/>
          <w:sz w:val="21"/>
          <w:szCs w:val="21"/>
          <w:lang w:val="en-US" w:eastAsia="zh-CN"/>
        </w:rPr>
        <w:t>阶段</w:t>
      </w: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j</w:t>
      </w:r>
      <w:r>
        <w:rPr>
          <w:rFonts w:hint="default" w:ascii="Times New Roman" w:hAnsi="Times New Roman" w:cs="Times New Roman"/>
          <w:sz w:val="21"/>
          <w:szCs w:val="21"/>
        </w:rPr>
        <w:t>种能源的碳排放因子，单位为（kgCO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w:t>
      </w:r>
      <w:r>
        <w:rPr>
          <w:rFonts w:hint="default" w:ascii="Times New Roman" w:hAnsi="Times New Roman" w:cs="Times New Roman"/>
          <w:sz w:val="21"/>
          <w:szCs w:val="21"/>
          <w:lang w:val="en-US" w:eastAsia="zh-CN"/>
        </w:rPr>
        <w:t>kg</w:t>
      </w:r>
      <w:r>
        <w:rPr>
          <w:rFonts w:hint="default" w:ascii="Times New Roman" w:hAnsi="Times New Roman" w:cs="Times New Roman"/>
          <w:sz w:val="21"/>
          <w:szCs w:val="21"/>
        </w:rPr>
        <w:t>或kgCO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e/kWh）；</w:t>
      </w:r>
    </w:p>
    <w:p>
      <w:pPr>
        <w:snapToGrid w:val="0"/>
        <w:spacing w:line="360" w:lineRule="auto"/>
        <w:ind w:firstLine="420" w:firstLineChars="200"/>
        <w:jc w:val="left"/>
        <w:rPr>
          <w:rFonts w:hint="default" w:ascii="Times New Roman" w:hAnsi="Times New Roman" w:eastAsia="宋体" w:cs="Times New Roman"/>
          <w:lang w:eastAsia="zh-CN"/>
        </w:rPr>
      </w:pPr>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H</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sz w:val="21"/>
          <w:szCs w:val="21"/>
        </w:rPr>
        <w:t>——处理</w:t>
      </w:r>
      <w:r>
        <w:rPr>
          <w:rFonts w:hint="default" w:ascii="Times New Roman" w:hAnsi="Times New Roman" w:cs="Times New Roman"/>
        </w:rPr>
        <w:t>生产制造</w:t>
      </w:r>
      <w:r>
        <w:rPr>
          <w:rFonts w:hint="default" w:ascii="Times New Roman" w:hAnsi="Times New Roman" w:cs="Times New Roman"/>
          <w:lang w:val="en-US" w:eastAsia="zh-CN"/>
        </w:rPr>
        <w:t>阶段</w:t>
      </w:r>
      <w:r>
        <w:rPr>
          <w:rFonts w:hint="default" w:ascii="Times New Roman" w:hAnsi="Times New Roman" w:cs="Times New Roman"/>
        </w:rPr>
        <w:t>产生的废弃物的第</w:t>
      </w:r>
      <w:r>
        <w:rPr>
          <w:rFonts w:hint="default" w:ascii="Times New Roman" w:hAnsi="Times New Roman" w:cs="Times New Roman"/>
          <w:lang w:val="en-US" w:eastAsia="zh-CN"/>
        </w:rPr>
        <w:t>j</w:t>
      </w:r>
      <w:r>
        <w:rPr>
          <w:rFonts w:hint="default" w:ascii="Times New Roman" w:hAnsi="Times New Roman" w:cs="Times New Roman"/>
        </w:rPr>
        <w:t>种能源消耗量，单位为吨或千瓦时（t或kWh）</w:t>
      </w:r>
      <w:r>
        <w:rPr>
          <w:rFonts w:hint="default" w:ascii="Times New Roman" w:hAnsi="Times New Roman" w:cs="Times New Roman"/>
          <w:lang w:eastAsia="zh-CN"/>
        </w:rPr>
        <w:t>。</w:t>
      </w:r>
    </w:p>
    <w:bookmarkEnd w:id="185"/>
    <w:p>
      <w:pPr>
        <w:pStyle w:val="111"/>
        <w:spacing w:before="156" w:after="156"/>
        <w:rPr>
          <w:rFonts w:hint="default" w:hAnsi="Times New Roman" w:cs="Times New Roman"/>
        </w:rPr>
      </w:pPr>
      <w:bookmarkStart w:id="186" w:name="_Toc10469"/>
      <w:r>
        <w:rPr>
          <w:rFonts w:hint="default" w:hAnsi="Times New Roman" w:cs="Times New Roman"/>
        </w:rPr>
        <w:t>施工阶段</w:t>
      </w:r>
      <w:bookmarkEnd w:id="186"/>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施工阶段温室气体排放应包含预制构件产品运输至安装施工现场与预制构件产品在施工现场安装过程的碳排放之和，</w:t>
      </w:r>
      <w:r>
        <w:rPr>
          <w:rFonts w:hint="eastAsia" w:ascii="Times New Roman" w:hAnsi="Times New Roman" w:cs="Times New Roman"/>
          <w:lang w:val="en-US" w:eastAsia="zh-CN"/>
        </w:rPr>
        <w:t>见公式（</w:t>
      </w:r>
      <w:r>
        <w:rPr>
          <w:rFonts w:hint="eastAsia" w:ascii="Times New Roman" w:cs="Times New Roman"/>
          <w:lang w:val="en-US" w:eastAsia="zh-CN"/>
        </w:rPr>
        <w:t>4</w:t>
      </w:r>
      <w:r>
        <w:rPr>
          <w:rFonts w:hint="eastAsia" w:ascii="Times New Roman" w:hAnsi="Times New Roman" w:cs="Times New Roman"/>
          <w:lang w:val="en-US" w:eastAsia="zh-CN"/>
        </w:rPr>
        <w:t>）。</w:t>
      </w:r>
    </w:p>
    <w:p>
      <w:pPr>
        <w:pStyle w:val="62"/>
        <w:spacing w:line="360" w:lineRule="auto"/>
        <w:ind w:firstLine="0" w:firstLineChars="0"/>
        <w:jc w:val="center"/>
        <w:rPr>
          <w:rFonts w:hint="default" w:ascii="Times New Roman" w:hAnsi="Times New Roman" w:cs="Times New Roman"/>
          <w:color w:val="000000" w:themeColor="text1"/>
          <w:szCs w:val="21"/>
          <w14:textFill>
            <w14:solidFill>
              <w14:schemeClr w14:val="tx1"/>
            </w14:solidFill>
          </w14:textFill>
        </w:rPr>
      </w:pPr>
      <w:bookmarkStart w:id="187" w:name="OLE_LINK36"/>
      <w:bookmarkStart w:id="188" w:name="OLE_LINK66"/>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C</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SG</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nary>
          <m:naryPr>
            <m:chr m:val="∑"/>
            <m:limLoc m:val="undOvr"/>
            <m:ctrlPr>
              <w:rPr>
                <w:rFonts w:hint="default" w:ascii="Cambria Math" w:hAnsi="Cambria Math" w:cs="Times New Roman"/>
                <w:i/>
                <w:color w:val="000000" w:themeColor="text1"/>
                <w:sz w:val="21"/>
                <w:szCs w:val="21"/>
                <w14:textFill>
                  <w14:solidFill>
                    <w14:schemeClr w14:val="tx1"/>
                  </w14:solidFill>
                </w14:textFill>
              </w:rPr>
            </m:ctrlPr>
          </m:naryPr>
          <m:sub>
            <m:r>
              <m:rPr/>
              <w:rPr>
                <w:rFonts w:hint="default" w:ascii="Cambria Math" w:hAnsi="Cambria Math" w:cs="Times New Roman"/>
                <w:color w:val="000000" w:themeColor="text1"/>
                <w:sz w:val="21"/>
                <w:szCs w:val="21"/>
                <w14:textFill>
                  <w14:solidFill>
                    <w14:schemeClr w14:val="tx1"/>
                  </w14:solidFill>
                </w14:textFill>
              </w:rPr>
              <m:t>k</m:t>
            </m:r>
            <w:bookmarkStart w:id="189" w:name="OLE_LINK72"/>
            <m:ctrlPr>
              <w:rPr>
                <w:rFonts w:hint="default" w:ascii="Cambria Math" w:hAnsi="Cambria Math" w:cs="Times New Roman"/>
                <w:i/>
                <w:color w:val="000000" w:themeColor="text1"/>
                <w:sz w:val="21"/>
                <w:szCs w:val="21"/>
                <w14:textFill>
                  <w14:solidFill>
                    <w14:schemeClr w14:val="tx1"/>
                  </w14:solidFill>
                </w14:textFill>
              </w:rPr>
            </m:ctrlPr>
          </m:sub>
          <m:sup>
            <m:ctrlPr>
              <w:rPr>
                <w:rFonts w:hint="default" w:ascii="Cambria Math" w:hAnsi="Cambria Math" w:cs="Times New Roman"/>
                <w:i/>
                <w:color w:val="000000" w:themeColor="text1"/>
                <w:sz w:val="21"/>
                <w:szCs w:val="21"/>
                <w14:textFill>
                  <w14:solidFill>
                    <w14:schemeClr w14:val="tx1"/>
                  </w14:solidFill>
                </w14:textFill>
              </w:rPr>
            </m:ctrlPr>
          </m:sup>
          <m:e>
            <m:r>
              <m:rPr/>
              <w:rPr>
                <w:rFonts w:hint="default" w:ascii="Cambria Math" w:hAnsi="Cambria Math" w:cs="Times New Roman"/>
                <w:color w:val="000000" w:themeColor="text1"/>
                <w:sz w:val="21"/>
                <w:szCs w:val="21"/>
                <w14:textFill>
                  <w14:solidFill>
                    <w14:schemeClr w14:val="tx1"/>
                  </w14:solidFill>
                </w14:textFill>
              </w:rPr>
              <m:t>(</m:t>
            </m:r>
            <w:bookmarkStart w:id="190" w:name="OLE_LINK55"/>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P</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k</m:t>
                </m:r>
                <w:bookmarkEnd w:id="190"/>
                <m:ctrlPr>
                  <w:rPr>
                    <w:rFonts w:hint="default" w:ascii="Cambria Math" w:hAnsi="Cambria Math" w:cs="Times New Roman"/>
                    <w:i/>
                    <w:color w:val="000000" w:themeColor="text1"/>
                    <w:sz w:val="21"/>
                    <w:szCs w:val="21"/>
                    <w14:textFill>
                      <w14:solidFill>
                        <w14:schemeClr w14:val="tx1"/>
                      </w14:solidFill>
                    </w14:textFill>
                  </w:rPr>
                </m:ctrlPr>
              </m:sub>
            </m:sSub>
            <w:bookmarkStart w:id="191" w:name="OLE_LINK52"/>
            <m:r>
              <m:rPr/>
              <w:rPr>
                <w:rFonts w:hint="default" w:ascii="Cambria Math" w:hAnsi="Cambria Math" w:cs="Times New Roman"/>
                <w:color w:val="000000" w:themeColor="text1"/>
                <w:sz w:val="21"/>
                <w:szCs w:val="21"/>
                <w14:textFill>
                  <w14:solidFill>
                    <w14:schemeClr w14:val="tx1"/>
                  </w14:solidFill>
                </w14:textFill>
              </w:rPr>
              <m:t>×</m:t>
            </m:r>
            <w:bookmarkEnd w:id="191"/>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L</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k</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w:bookmarkStart w:id="192" w:name="OLE_LINK57"/>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T</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k</m:t>
                </m:r>
                <w:bookmarkEnd w:id="192"/>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w:bookmarkEnd w:id="189"/>
            <m:r>
              <m:rPr/>
              <w:rPr>
                <w:rFonts w:hint="default" w:ascii="Cambria Math" w:hAnsi="Cambria Math" w:cs="Times New Roman"/>
                <w:color w:val="000000" w:themeColor="text1"/>
                <w:sz w:val="21"/>
                <w:szCs w:val="21"/>
                <w14:textFill>
                  <w14:solidFill>
                    <w14:schemeClr w14:val="tx1"/>
                  </w14:solidFill>
                </w14:textFill>
              </w:rPr>
              <m:t>+</m:t>
            </m:r>
            <m:nary>
              <m:naryPr>
                <m:chr m:val="∑"/>
                <m:limLoc m:val="undOvr"/>
                <m:ctrlPr>
                  <w:rPr>
                    <w:rFonts w:hint="default" w:ascii="Cambria Math" w:hAnsi="Cambria Math" w:cs="Times New Roman"/>
                    <w:i/>
                    <w:color w:val="000000" w:themeColor="text1"/>
                    <w:sz w:val="21"/>
                    <w:szCs w:val="21"/>
                    <w14:textFill>
                      <w14:solidFill>
                        <w14:schemeClr w14:val="tx1"/>
                      </w14:solidFill>
                    </w14:textFill>
                  </w:rPr>
                </m:ctrlPr>
              </m:naryPr>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up>
                <m:ctrlPr>
                  <w:rPr>
                    <w:rFonts w:hint="default" w:ascii="Cambria Math" w:hAnsi="Cambria Math" w:cs="Times New Roman"/>
                    <w:i/>
                    <w:color w:val="000000" w:themeColor="text1"/>
                    <w:sz w:val="21"/>
                    <w:szCs w:val="21"/>
                    <w14:textFill>
                      <w14:solidFill>
                        <w14:schemeClr w14:val="tx1"/>
                      </w14:solidFill>
                    </w14:textFill>
                  </w:rPr>
                </m:ctrlPr>
              </m:sup>
              <m:e>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N</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w:bookmarkEnd w:id="187"/>
                <w:bookmarkEnd w:id="188"/>
                <m:ctrlPr>
                  <w:rPr>
                    <w:rFonts w:hint="default" w:ascii="Cambria Math" w:hAnsi="Cambria Math" w:cs="Times New Roman"/>
                    <w:i/>
                    <w:color w:val="000000" w:themeColor="text1"/>
                    <w:sz w:val="21"/>
                    <w:szCs w:val="21"/>
                    <w14:textFill>
                      <w14:solidFill>
                        <w14:schemeClr w14:val="tx1"/>
                      </w14:solidFill>
                    </w14:textFill>
                  </w:rPr>
                </m:ctrlPr>
              </m:e>
            </m:nary>
            <m:ctrlPr>
              <w:rPr>
                <w:rFonts w:hint="default" w:ascii="Cambria Math" w:hAnsi="Cambria Math" w:cs="Times New Roman"/>
                <w:i/>
                <w:color w:val="000000" w:themeColor="text1"/>
                <w:sz w:val="21"/>
                <w:szCs w:val="21"/>
                <w14:textFill>
                  <w14:solidFill>
                    <w14:schemeClr w14:val="tx1"/>
                  </w14:solidFill>
                </w14:textFill>
              </w:rPr>
            </m:ctrlPr>
          </m:e>
        </m:nary>
      </m:oMath>
      <w:r>
        <w:rPr>
          <w:rFonts w:hint="default" w:ascii="Times New Roman" w:hAnsi="Times New Roman" w:cs="Times New Roman"/>
          <w:color w:val="000000" w:themeColor="text1"/>
          <w:szCs w:val="21"/>
          <w14:textFill>
            <w14:solidFill>
              <w14:schemeClr w14:val="tx1"/>
            </w14:solidFill>
          </w14:textFill>
        </w:rPr>
        <w:t xml:space="preserve">           </w:t>
      </w:r>
      <w:bookmarkStart w:id="193" w:name="OLE_LINK64"/>
      <w:r>
        <w:rPr>
          <w:rFonts w:hint="default" w:ascii="Times New Roman" w:hAnsi="Times New Roman" w:cs="Times New Roman"/>
          <w:color w:val="000000" w:themeColor="text1"/>
          <w:szCs w:val="21"/>
          <w14:textFill>
            <w14:solidFill>
              <w14:schemeClr w14:val="tx1"/>
            </w14:solidFill>
          </w14:textFill>
        </w:rPr>
        <w:t>（4）</w:t>
      </w:r>
      <w:bookmarkEnd w:id="193"/>
    </w:p>
    <w:p>
      <w:pPr>
        <w:snapToGrid w:val="0"/>
        <w:spacing w:line="360" w:lineRule="auto"/>
        <w:ind w:firstLine="42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式中：</w:t>
      </w:r>
    </w:p>
    <w:p>
      <w:pPr>
        <w:snapToGrid w:val="0"/>
        <w:spacing w:line="360" w:lineRule="auto"/>
        <w:ind w:firstLine="420" w:firstLineChars="200"/>
        <w:jc w:val="left"/>
        <w:rPr>
          <w:rFonts w:hint="default" w:ascii="Times New Roman" w:hAnsi="Times New Roman" w:cs="Times New Roman"/>
          <w:color w:val="000000" w:themeColor="text1"/>
          <w:sz w:val="21"/>
          <w:szCs w:val="21"/>
          <w14:textFill>
            <w14:solidFill>
              <w14:schemeClr w14:val="tx1"/>
            </w14:solidFill>
          </w14:textFill>
        </w:rPr>
      </w:pPr>
      <m:oMath>
        <m:sSub>
          <w:bookmarkStart w:id="194" w:name="OLE_LINK67"/>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C</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SG</m:t>
            </m:r>
            <w:bookmarkEnd w:id="194"/>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sz w:val="21"/>
          <w:szCs w:val="21"/>
        </w:rPr>
        <w:t>——</w:t>
      </w:r>
      <w:bookmarkStart w:id="195" w:name="OLE_LINK69"/>
      <w:r>
        <w:rPr>
          <w:rFonts w:hint="default" w:ascii="Times New Roman" w:hAnsi="Times New Roman" w:cs="Times New Roman"/>
          <w:sz w:val="21"/>
          <w:szCs w:val="21"/>
        </w:rPr>
        <w:t>施工阶段温室气体排放量，单位为千克二氧化碳当量</w:t>
      </w:r>
      <w:r>
        <w:rPr>
          <w:rFonts w:hint="default" w:ascii="Times New Roman" w:hAnsi="Times New Roman" w:cs="Times New Roman"/>
          <w:sz w:val="21"/>
          <w:szCs w:val="21"/>
          <w:lang w:eastAsia="zh-CN"/>
        </w:rPr>
        <w:t>（</w:t>
      </w:r>
      <w:r>
        <w:rPr>
          <w:rFonts w:hint="default" w:ascii="Times New Roman" w:hAnsi="Times New Roman" w:cs="Times New Roman"/>
          <w:color w:val="000000" w:themeColor="text1"/>
          <w:sz w:val="21"/>
          <w:szCs w:val="21"/>
          <w:lang w:val="en-US" w:eastAsia="zh-CN"/>
          <w14:textFill>
            <w14:solidFill>
              <w14:schemeClr w14:val="tx1"/>
            </w14:solidFill>
          </w14:textFill>
        </w:rPr>
        <w:t>kg</w:t>
      </w:r>
      <w:r>
        <w:rPr>
          <w:rFonts w:hint="default" w:ascii="Times New Roman" w:hAnsi="Times New Roman" w:cs="Times New Roman"/>
          <w:color w:val="000000" w:themeColor="text1"/>
          <w:sz w:val="21"/>
          <w:szCs w:val="21"/>
          <w14:textFill>
            <w14:solidFill>
              <w14:schemeClr w14:val="tx1"/>
            </w14:solidFill>
          </w14:textFill>
        </w:rPr>
        <w:t>CO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e</w:t>
      </w:r>
      <w:r>
        <w:rPr>
          <w:rFonts w:hint="default" w:ascii="Times New Roman" w:hAnsi="Times New Roman" w:cs="Times New Roman"/>
          <w:sz w:val="21"/>
          <w:szCs w:val="21"/>
          <w:lang w:eastAsia="zh-CN"/>
        </w:rPr>
        <w:t>）</w:t>
      </w:r>
      <w:r>
        <w:rPr>
          <w:rFonts w:hint="default" w:ascii="Times New Roman" w:hAnsi="Times New Roman" w:cs="Times New Roman"/>
          <w:color w:val="000000" w:themeColor="text1"/>
          <w:sz w:val="21"/>
          <w:szCs w:val="21"/>
          <w14:textFill>
            <w14:solidFill>
              <w14:schemeClr w14:val="tx1"/>
            </w14:solidFill>
          </w14:textFill>
        </w:rPr>
        <w:t>；</w:t>
      </w:r>
      <w:bookmarkEnd w:id="195"/>
    </w:p>
    <w:p>
      <w:pPr>
        <w:snapToGrid w:val="0"/>
        <w:spacing w:line="360" w:lineRule="auto"/>
        <w:ind w:firstLine="420" w:firstLineChars="200"/>
        <w:jc w:val="left"/>
        <w:rPr>
          <w:rFonts w:hint="default" w:ascii="Times New Roman" w:hAnsi="Times New Roman" w:cs="Times New Roman"/>
          <w:color w:val="000000" w:themeColor="text1"/>
          <w:sz w:val="21"/>
          <w:szCs w:val="21"/>
          <w:highlight w:val="none"/>
          <w14:textFill>
            <w14:solidFill>
              <w14:schemeClr w14:val="tx1"/>
            </w14:solidFill>
          </w14:textFill>
        </w:rPr>
      </w:pPr>
      <m:oMath>
        <m:sSub>
          <m:sSubPr>
            <m:ctrlPr>
              <w:rPr>
                <w:rFonts w:hint="default" w:ascii="Cambria Math" w:hAnsi="Cambria Math" w:cs="Times New Roman"/>
                <w:i/>
                <w:color w:val="000000" w:themeColor="text1"/>
                <w:sz w:val="21"/>
                <w:szCs w:val="21"/>
                <w:highlight w:val="none"/>
                <w14:textFill>
                  <w14:solidFill>
                    <w14:schemeClr w14:val="tx1"/>
                  </w14:solidFill>
                </w14:textFill>
              </w:rPr>
            </m:ctrlPr>
          </m:sSubPr>
          <m:e>
            <m:r>
              <m:rPr/>
              <w:rPr>
                <w:rFonts w:hint="default" w:ascii="Cambria Math" w:hAnsi="Cambria Math" w:cs="Times New Roman"/>
                <w:color w:val="000000" w:themeColor="text1"/>
                <w:sz w:val="21"/>
                <w:szCs w:val="21"/>
                <w:highlight w:val="none"/>
                <w:lang w:val="en-US" w:eastAsia="zh-CN"/>
                <w14:textFill>
                  <w14:solidFill>
                    <w14:schemeClr w14:val="tx1"/>
                  </w14:solidFill>
                </w14:textFill>
              </w:rPr>
              <m:t>P</m:t>
            </m:r>
            <m:ctrlPr>
              <w:rPr>
                <w:rFonts w:hint="default" w:ascii="Cambria Math" w:hAnsi="Cambria Math" w:cs="Times New Roman"/>
                <w:i/>
                <w:color w:val="000000" w:themeColor="text1"/>
                <w:sz w:val="21"/>
                <w:szCs w:val="21"/>
                <w:highlight w:val="none"/>
                <w14:textFill>
                  <w14:solidFill>
                    <w14:schemeClr w14:val="tx1"/>
                  </w14:solidFill>
                </w14:textFill>
              </w:rPr>
            </m:ctrlPr>
          </m:e>
          <m:sub>
            <m:r>
              <m:rPr/>
              <w:rPr>
                <w:rFonts w:hint="default" w:ascii="Cambria Math" w:hAnsi="Cambria Math" w:cs="Times New Roman"/>
                <w:color w:val="000000" w:themeColor="text1"/>
                <w:sz w:val="21"/>
                <w:szCs w:val="21"/>
                <w:highlight w:val="none"/>
                <w14:textFill>
                  <w14:solidFill>
                    <w14:schemeClr w14:val="tx1"/>
                  </w14:solidFill>
                </w14:textFill>
              </w:rPr>
              <m:t>k</m:t>
            </m:r>
            <m:ctrlPr>
              <w:rPr>
                <w:rFonts w:hint="default" w:ascii="Cambria Math" w:hAnsi="Cambria Math" w:cs="Times New Roman"/>
                <w:i/>
                <w:color w:val="000000" w:themeColor="text1"/>
                <w:sz w:val="21"/>
                <w:szCs w:val="21"/>
                <w:highlight w:val="none"/>
                <w14:textFill>
                  <w14:solidFill>
                    <w14:schemeClr w14:val="tx1"/>
                  </w14:solidFill>
                </w14:textFill>
              </w:rPr>
            </m:ctrlPr>
          </m:sub>
        </m:sSub>
      </m:oMath>
      <w:r>
        <w:rPr>
          <w:rFonts w:hint="default" w:ascii="Times New Roman" w:hAnsi="Times New Roman" w:cs="Times New Roman"/>
          <w:color w:val="000000" w:themeColor="text1"/>
          <w:sz w:val="21"/>
          <w:szCs w:val="21"/>
          <w:highlight w:val="none"/>
          <w14:textFill>
            <w14:solidFill>
              <w14:schemeClr w14:val="tx1"/>
            </w14:solidFill>
          </w14:textFill>
        </w:rPr>
        <w:t xml:space="preserve"> ——</w:t>
      </w:r>
      <w:bookmarkStart w:id="196" w:name="OLE_LINK58"/>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预制构件</w:t>
      </w:r>
      <w:r>
        <w:rPr>
          <w:rFonts w:hint="default" w:ascii="Times New Roman" w:hAnsi="Times New Roman" w:cs="Times New Roman"/>
          <w:color w:val="000000" w:themeColor="text1"/>
          <w:sz w:val="21"/>
          <w:szCs w:val="21"/>
          <w:highlight w:val="none"/>
          <w14:textFill>
            <w14:solidFill>
              <w14:schemeClr w14:val="tx1"/>
            </w14:solidFill>
          </w14:textFill>
        </w:rPr>
        <w:t>产品</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使用</w:t>
      </w:r>
      <w:bookmarkEnd w:id="196"/>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第k种运输工具的</w:t>
      </w:r>
      <w:r>
        <w:rPr>
          <w:rFonts w:hint="default" w:ascii="Times New Roman" w:hAnsi="Times New Roman" w:cs="Times New Roman"/>
          <w:color w:val="000000" w:themeColor="text1"/>
          <w:sz w:val="21"/>
          <w:szCs w:val="21"/>
          <w:highlight w:val="none"/>
          <w14:textFill>
            <w14:solidFill>
              <w14:schemeClr w14:val="tx1"/>
            </w14:solidFill>
          </w14:textFill>
        </w:rPr>
        <w:t>产品</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重量</w:t>
      </w:r>
      <w:r>
        <w:rPr>
          <w:rFonts w:hint="default" w:ascii="Times New Roman" w:hAnsi="Times New Roman" w:cs="Times New Roman"/>
          <w:sz w:val="21"/>
          <w:szCs w:val="21"/>
          <w:highlight w:val="none"/>
        </w:rPr>
        <w:t>，单位为</w:t>
      </w:r>
      <w:r>
        <w:rPr>
          <w:rFonts w:hint="default" w:ascii="Times New Roman" w:hAnsi="Times New Roman" w:cs="Times New Roman"/>
          <w:sz w:val="21"/>
          <w:szCs w:val="21"/>
          <w:highlight w:val="none"/>
          <w:lang w:val="en-US" w:eastAsia="zh-CN"/>
        </w:rPr>
        <w:t>吨</w:t>
      </w:r>
      <w:r>
        <w:rPr>
          <w:rFonts w:hint="default" w:ascii="Times New Roman" w:hAnsi="Times New Roman" w:cs="Times New Roman"/>
          <w:sz w:val="21"/>
          <w:szCs w:val="21"/>
          <w:highlight w:val="none"/>
        </w:rPr>
        <w:t>（</w:t>
      </w:r>
      <w:r>
        <w:rPr>
          <w:rFonts w:hint="default" w:ascii="Times New Roman" w:hAnsi="Times New Roman" w:cs="Times New Roman"/>
          <w:sz w:val="21"/>
          <w:szCs w:val="21"/>
          <w:highlight w:val="none"/>
          <w:lang w:val="en-US" w:eastAsia="zh-CN"/>
        </w:rPr>
        <w:t>t</w:t>
      </w:r>
      <w:r>
        <w:rPr>
          <w:rFonts w:hint="default" w:ascii="Times New Roman" w:hAnsi="Times New Roman" w:cs="Times New Roman"/>
          <w:sz w:val="21"/>
          <w:szCs w:val="21"/>
          <w:highlight w:val="none"/>
        </w:rPr>
        <w:t>）</w:t>
      </w:r>
      <w:r>
        <w:rPr>
          <w:rFonts w:hint="default" w:ascii="Times New Roman" w:hAnsi="Times New Roman" w:cs="Times New Roman"/>
          <w:color w:val="000000" w:themeColor="text1"/>
          <w:sz w:val="21"/>
          <w:szCs w:val="21"/>
          <w:highlight w:val="none"/>
          <w14:textFill>
            <w14:solidFill>
              <w14:schemeClr w14:val="tx1"/>
            </w14:solidFill>
          </w14:textFill>
        </w:rPr>
        <w:t>；</w:t>
      </w:r>
    </w:p>
    <w:p>
      <w:pPr>
        <w:snapToGrid w:val="0"/>
        <w:spacing w:line="360" w:lineRule="auto"/>
        <w:ind w:firstLine="420" w:firstLineChars="200"/>
        <w:jc w:val="left"/>
        <w:rPr>
          <w:rFonts w:hint="default" w:ascii="Times New Roman" w:hAnsi="Times New Roman" w:cs="Times New Roman"/>
          <w:color w:val="000000" w:themeColor="text1"/>
          <w:sz w:val="21"/>
          <w:szCs w:val="21"/>
          <w:highlight w:val="none"/>
          <w14:textFill>
            <w14:solidFill>
              <w14:schemeClr w14:val="tx1"/>
            </w14:solidFill>
          </w14:textFill>
        </w:rPr>
      </w:pPr>
      <m:oMath>
        <m:sSub>
          <m:sSubPr>
            <m:ctrlPr>
              <w:rPr>
                <w:rFonts w:hint="default" w:ascii="Cambria Math" w:hAnsi="Cambria Math" w:cs="Times New Roman"/>
                <w:i/>
                <w:color w:val="000000" w:themeColor="text1"/>
                <w:sz w:val="21"/>
                <w:szCs w:val="21"/>
                <w:highlight w:val="none"/>
                <w14:textFill>
                  <w14:solidFill>
                    <w14:schemeClr w14:val="tx1"/>
                  </w14:solidFill>
                </w14:textFill>
              </w:rPr>
            </m:ctrlPr>
          </m:sSubPr>
          <m:e>
            <m:r>
              <m:rPr/>
              <w:rPr>
                <w:rFonts w:hint="default" w:ascii="Cambria Math" w:hAnsi="Cambria Math" w:cs="Times New Roman"/>
                <w:color w:val="000000" w:themeColor="text1"/>
                <w:sz w:val="21"/>
                <w:szCs w:val="21"/>
                <w:highlight w:val="none"/>
                <w14:textFill>
                  <w14:solidFill>
                    <w14:schemeClr w14:val="tx1"/>
                  </w14:solidFill>
                </w14:textFill>
              </w:rPr>
              <m:t>L</m:t>
            </m:r>
            <m:ctrlPr>
              <w:rPr>
                <w:rFonts w:hint="default" w:ascii="Cambria Math" w:hAnsi="Cambria Math" w:cs="Times New Roman"/>
                <w:i/>
                <w:color w:val="000000" w:themeColor="text1"/>
                <w:sz w:val="21"/>
                <w:szCs w:val="21"/>
                <w:highlight w:val="none"/>
                <w14:textFill>
                  <w14:solidFill>
                    <w14:schemeClr w14:val="tx1"/>
                  </w14:solidFill>
                </w14:textFill>
              </w:rPr>
            </m:ctrlPr>
          </m:e>
          <m:sub>
            <m:r>
              <m:rPr/>
              <w:rPr>
                <w:rFonts w:hint="default" w:ascii="Cambria Math" w:hAnsi="Cambria Math" w:cs="Times New Roman"/>
                <w:color w:val="000000" w:themeColor="text1"/>
                <w:sz w:val="21"/>
                <w:szCs w:val="21"/>
                <w:highlight w:val="none"/>
                <w14:textFill>
                  <w14:solidFill>
                    <w14:schemeClr w14:val="tx1"/>
                  </w14:solidFill>
                </w14:textFill>
              </w:rPr>
              <m:t>k</m:t>
            </m:r>
            <m:ctrlPr>
              <w:rPr>
                <w:rFonts w:hint="default" w:ascii="Cambria Math" w:hAnsi="Cambria Math" w:cs="Times New Roman"/>
                <w:i/>
                <w:color w:val="000000" w:themeColor="text1"/>
                <w:sz w:val="21"/>
                <w:szCs w:val="21"/>
                <w:highlight w:val="none"/>
                <w14:textFill>
                  <w14:solidFill>
                    <w14:schemeClr w14:val="tx1"/>
                  </w14:solidFill>
                </w14:textFill>
              </w:rPr>
            </m:ctrlPr>
          </m:sub>
        </m:sSub>
      </m:oMath>
      <w:r>
        <w:rPr>
          <w:rFonts w:hint="default" w:ascii="Times New Roman" w:hAnsi="Times New Roman" w:cs="Times New Roman"/>
          <w:color w:val="000000" w:themeColor="text1"/>
          <w:sz w:val="21"/>
          <w:szCs w:val="21"/>
          <w:highlight w:val="none"/>
          <w14:textFill>
            <w14:solidFill>
              <w14:schemeClr w14:val="tx1"/>
            </w14:solidFill>
          </w14:textFill>
        </w:rPr>
        <w:t xml:space="preserve"> ——</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预制构件</w:t>
      </w:r>
      <w:r>
        <w:rPr>
          <w:rFonts w:hint="default" w:ascii="Times New Roman" w:hAnsi="Times New Roman" w:cs="Times New Roman"/>
          <w:color w:val="000000" w:themeColor="text1"/>
          <w:sz w:val="21"/>
          <w:szCs w:val="21"/>
          <w:highlight w:val="none"/>
          <w14:textFill>
            <w14:solidFill>
              <w14:schemeClr w14:val="tx1"/>
            </w14:solidFill>
          </w14:textFill>
        </w:rPr>
        <w:t>产品</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使用第k种运输工具</w:t>
      </w:r>
      <w:r>
        <w:rPr>
          <w:rFonts w:hint="default" w:ascii="Times New Roman" w:hAnsi="Times New Roman" w:cs="Times New Roman"/>
          <w:color w:val="000000" w:themeColor="text1"/>
          <w:sz w:val="21"/>
          <w:szCs w:val="21"/>
          <w:highlight w:val="none"/>
          <w14:textFill>
            <w14:solidFill>
              <w14:schemeClr w14:val="tx1"/>
            </w14:solidFill>
          </w14:textFill>
        </w:rPr>
        <w:t>运输至施工现场的</w:t>
      </w:r>
      <w:r>
        <w:rPr>
          <w:rFonts w:hint="default" w:ascii="Times New Roman" w:hAnsi="Times New Roman" w:cs="Times New Roman"/>
          <w:color w:val="000000"/>
          <w:sz w:val="21"/>
          <w:szCs w:val="21"/>
          <w:highlight w:val="none"/>
          <w:lang w:val="en-US" w:eastAsia="zh-CN"/>
        </w:rPr>
        <w:t>运输距离</w:t>
      </w:r>
      <w:r>
        <w:rPr>
          <w:rFonts w:hint="default" w:ascii="Times New Roman" w:hAnsi="Times New Roman" w:cs="Times New Roman"/>
          <w:color w:val="000000"/>
          <w:sz w:val="21"/>
          <w:szCs w:val="21"/>
          <w:highlight w:val="none"/>
        </w:rPr>
        <w:t>，单位</w:t>
      </w:r>
      <w:r>
        <w:rPr>
          <w:rFonts w:hint="default" w:ascii="Times New Roman" w:hAnsi="Times New Roman" w:cs="Times New Roman"/>
          <w:color w:val="000000"/>
          <w:sz w:val="21"/>
          <w:szCs w:val="21"/>
          <w:highlight w:val="none"/>
          <w:lang w:val="en-US" w:eastAsia="zh-CN"/>
        </w:rPr>
        <w:t>为</w:t>
      </w:r>
      <w:r>
        <w:rPr>
          <w:rFonts w:hint="default" w:ascii="Times New Roman" w:hAnsi="Times New Roman" w:cs="Times New Roman"/>
          <w:color w:val="000000"/>
          <w:sz w:val="21"/>
          <w:szCs w:val="21"/>
          <w:highlight w:val="none"/>
        </w:rPr>
        <w:t>千米（km）</w:t>
      </w:r>
      <w:r>
        <w:rPr>
          <w:rFonts w:hint="default" w:ascii="Times New Roman" w:hAnsi="Times New Roman" w:cs="Times New Roman"/>
          <w:color w:val="000000" w:themeColor="text1"/>
          <w:sz w:val="21"/>
          <w:szCs w:val="21"/>
          <w:highlight w:val="none"/>
          <w14:textFill>
            <w14:solidFill>
              <w14:schemeClr w14:val="tx1"/>
            </w14:solidFill>
          </w14:textFill>
        </w:rPr>
        <w:t>；</w:t>
      </w:r>
    </w:p>
    <w:p>
      <w:pPr>
        <w:snapToGrid w:val="0"/>
        <w:spacing w:line="360" w:lineRule="auto"/>
        <w:ind w:firstLine="420" w:firstLineChars="200"/>
        <w:jc w:val="left"/>
        <w:rPr>
          <w:rFonts w:hint="default" w:ascii="Times New Roman" w:hAnsi="Times New Roman" w:cs="Times New Roman"/>
          <w:color w:val="000000"/>
          <w:sz w:val="21"/>
          <w:szCs w:val="21"/>
          <w:highlight w:val="none"/>
          <w:lang w:eastAsia="zh-CN"/>
        </w:rPr>
      </w:pPr>
      <m:oMath>
        <m:sSub>
          <m:sSubPr>
            <m:ctrlPr>
              <w:rPr>
                <w:rFonts w:hint="default" w:ascii="Cambria Math" w:hAnsi="Cambria Math" w:cs="Times New Roman"/>
                <w:i/>
                <w:color w:val="000000" w:themeColor="text1"/>
                <w:sz w:val="21"/>
                <w:szCs w:val="21"/>
                <w:highlight w:val="none"/>
                <w14:textFill>
                  <w14:solidFill>
                    <w14:schemeClr w14:val="tx1"/>
                  </w14:solidFill>
                </w14:textFill>
              </w:rPr>
            </m:ctrlPr>
          </m:sSubPr>
          <m:e>
            <m:r>
              <m:rPr/>
              <w:rPr>
                <w:rFonts w:hint="default" w:ascii="Cambria Math" w:hAnsi="Cambria Math" w:cs="Times New Roman"/>
                <w:color w:val="000000" w:themeColor="text1"/>
                <w:sz w:val="21"/>
                <w:szCs w:val="21"/>
                <w:highlight w:val="none"/>
                <w:lang w:val="en-US" w:eastAsia="zh-CN"/>
                <w14:textFill>
                  <w14:solidFill>
                    <w14:schemeClr w14:val="tx1"/>
                  </w14:solidFill>
                </w14:textFill>
              </w:rPr>
              <m:t>T</m:t>
            </m:r>
            <m:ctrlPr>
              <w:rPr>
                <w:rFonts w:hint="default" w:ascii="Cambria Math" w:hAnsi="Cambria Math" w:cs="Times New Roman"/>
                <w:i/>
                <w:color w:val="000000" w:themeColor="text1"/>
                <w:sz w:val="21"/>
                <w:szCs w:val="21"/>
                <w:highlight w:val="none"/>
                <w14:textFill>
                  <w14:solidFill>
                    <w14:schemeClr w14:val="tx1"/>
                  </w14:solidFill>
                </w14:textFill>
              </w:rPr>
            </m:ctrlPr>
          </m:e>
          <m:sub>
            <m:r>
              <m:rPr/>
              <w:rPr>
                <w:rFonts w:hint="default" w:ascii="Cambria Math" w:hAnsi="Cambria Math" w:cs="Times New Roman"/>
                <w:color w:val="000000" w:themeColor="text1"/>
                <w:sz w:val="21"/>
                <w:szCs w:val="21"/>
                <w:highlight w:val="none"/>
                <w14:textFill>
                  <w14:solidFill>
                    <w14:schemeClr w14:val="tx1"/>
                  </w14:solidFill>
                </w14:textFill>
              </w:rPr>
              <m:t>k</m:t>
            </m:r>
            <m:ctrlPr>
              <w:rPr>
                <w:rFonts w:hint="default" w:ascii="Cambria Math" w:hAnsi="Cambria Math" w:cs="Times New Roman"/>
                <w:i/>
                <w:color w:val="000000" w:themeColor="text1"/>
                <w:sz w:val="21"/>
                <w:szCs w:val="21"/>
                <w:highlight w:val="none"/>
                <w14:textFill>
                  <w14:solidFill>
                    <w14:schemeClr w14:val="tx1"/>
                  </w14:solidFill>
                </w14:textFill>
              </w:rPr>
            </m:ctrlPr>
          </m:sub>
        </m:sSub>
      </m:oMath>
      <w:r>
        <w:rPr>
          <w:rFonts w:hint="default" w:ascii="Times New Roman" w:hAnsi="Times New Roman" w:cs="Times New Roman"/>
          <w:i w:val="0"/>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cs="Times New Roman"/>
          <w:sz w:val="21"/>
          <w:szCs w:val="21"/>
          <w:highlight w:val="none"/>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第k种运输工具</w:t>
      </w:r>
      <w:r>
        <w:rPr>
          <w:rFonts w:hint="default" w:ascii="Times New Roman" w:hAnsi="Times New Roman" w:cs="Times New Roman"/>
          <w:color w:val="000000"/>
          <w:sz w:val="21"/>
          <w:szCs w:val="21"/>
          <w:highlight w:val="none"/>
          <w:lang w:val="en-US" w:eastAsia="zh-CN"/>
        </w:rPr>
        <w:t>的运输</w:t>
      </w:r>
      <w:r>
        <w:rPr>
          <w:rFonts w:hint="default" w:ascii="Times New Roman" w:hAnsi="Times New Roman" w:cs="Times New Roman"/>
          <w:color w:val="000000"/>
          <w:sz w:val="21"/>
          <w:szCs w:val="21"/>
          <w:highlight w:val="none"/>
        </w:rPr>
        <w:t>因子，单位</w:t>
      </w:r>
      <w:r>
        <w:rPr>
          <w:rFonts w:hint="default" w:ascii="Times New Roman" w:hAnsi="Times New Roman" w:cs="Times New Roman"/>
          <w:color w:val="000000"/>
          <w:sz w:val="21"/>
          <w:szCs w:val="21"/>
          <w:highlight w:val="none"/>
          <w:lang w:val="en-US" w:eastAsia="zh-CN"/>
        </w:rPr>
        <w:t>重量运输距离的碳排放因子</w:t>
      </w:r>
      <w:r>
        <w:rPr>
          <w:rFonts w:hint="default" w:ascii="Times New Roman" w:hAnsi="Times New Roman" w:cs="Times New Roman"/>
          <w:color w:val="000000"/>
          <w:sz w:val="21"/>
          <w:szCs w:val="21"/>
          <w:highlight w:val="none"/>
        </w:rPr>
        <w:t>（kgCO</w:t>
      </w:r>
      <w:r>
        <w:rPr>
          <w:rFonts w:hint="default" w:ascii="Times New Roman" w:hAnsi="Times New Roman" w:cs="Times New Roman"/>
          <w:color w:val="000000"/>
          <w:sz w:val="21"/>
          <w:szCs w:val="21"/>
          <w:highlight w:val="none"/>
          <w:vertAlign w:val="subscript"/>
        </w:rPr>
        <w:t>2</w:t>
      </w:r>
      <w:r>
        <w:rPr>
          <w:rFonts w:hint="default" w:ascii="Times New Roman" w:hAnsi="Times New Roman" w:cs="Times New Roman"/>
          <w:color w:val="000000"/>
          <w:sz w:val="21"/>
          <w:szCs w:val="21"/>
          <w:highlight w:val="none"/>
        </w:rPr>
        <w:t>e/</w:t>
      </w:r>
      <w:r>
        <w:rPr>
          <w:rFonts w:hint="default" w:ascii="Times New Roman" w:hAnsi="Times New Roman" w:cs="Times New Roman"/>
          <w:color w:val="000000"/>
          <w:sz w:val="21"/>
          <w:szCs w:val="21"/>
          <w:highlight w:val="none"/>
          <w:lang w:val="en-US" w:eastAsia="zh-CN"/>
        </w:rPr>
        <w:t>t</w:t>
      </w:r>
      <w:r>
        <w:rPr>
          <w:rFonts w:hint="default" w:ascii="Times New Roman" w:hAnsi="Times New Roman" w:cs="Times New Roman"/>
          <w:color w:val="000000"/>
          <w:sz w:val="21"/>
          <w:szCs w:val="21"/>
          <w:highlight w:val="none"/>
        </w:rPr>
        <w:t>·km）</w:t>
      </w:r>
      <w:r>
        <w:rPr>
          <w:rFonts w:hint="default" w:ascii="Times New Roman" w:hAnsi="Times New Roman" w:cs="Times New Roman"/>
          <w:color w:val="000000"/>
          <w:sz w:val="21"/>
          <w:szCs w:val="21"/>
          <w:highlight w:val="none"/>
          <w:lang w:eastAsia="zh-CN"/>
        </w:rPr>
        <w:t>；</w:t>
      </w:r>
    </w:p>
    <w:p>
      <w:pPr>
        <w:snapToGrid w:val="0"/>
        <w:spacing w:line="360" w:lineRule="auto"/>
        <w:ind w:firstLine="420" w:firstLineChars="200"/>
        <w:jc w:val="left"/>
        <w:rPr>
          <w:rFonts w:hint="default" w:ascii="Times New Roman" w:hAnsi="Times New Roman" w:cs="Times New Roman"/>
          <w:sz w:val="21"/>
          <w:szCs w:val="21"/>
        </w:rPr>
      </w:pPr>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N</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sz w:val="21"/>
          <w:szCs w:val="21"/>
        </w:rPr>
        <w:t>——施工安装</w:t>
      </w:r>
      <w:r>
        <w:rPr>
          <w:rFonts w:hint="default" w:ascii="Times New Roman" w:hAnsi="Times New Roman" w:cs="Times New Roman"/>
          <w:sz w:val="21"/>
          <w:szCs w:val="21"/>
          <w:lang w:val="en-US" w:eastAsia="zh-CN"/>
        </w:rPr>
        <w:t>阶段第</w:t>
      </w:r>
      <w:bookmarkStart w:id="197" w:name="OLE_LINK25"/>
      <w:r>
        <w:rPr>
          <w:rFonts w:hint="default" w:ascii="Times New Roman" w:hAnsi="Times New Roman" w:cs="Times New Roman"/>
          <w:sz w:val="21"/>
          <w:szCs w:val="21"/>
          <w:lang w:val="en-US" w:eastAsia="zh-CN"/>
        </w:rPr>
        <w:t>j</w:t>
      </w:r>
      <w:bookmarkEnd w:id="197"/>
      <w:r>
        <w:rPr>
          <w:rFonts w:hint="default" w:ascii="Times New Roman" w:hAnsi="Times New Roman" w:cs="Times New Roman"/>
          <w:sz w:val="21"/>
          <w:szCs w:val="21"/>
          <w:lang w:val="en-US" w:eastAsia="zh-CN"/>
        </w:rPr>
        <w:t>种</w:t>
      </w:r>
      <w:r>
        <w:rPr>
          <w:rFonts w:hint="default" w:ascii="Times New Roman" w:hAnsi="Times New Roman" w:cs="Times New Roman"/>
          <w:sz w:val="21"/>
          <w:szCs w:val="21"/>
        </w:rPr>
        <w:t>能源</w:t>
      </w:r>
      <w:r>
        <w:rPr>
          <w:rFonts w:hint="default" w:ascii="Times New Roman" w:hAnsi="Times New Roman" w:cs="Times New Roman"/>
          <w:sz w:val="21"/>
          <w:szCs w:val="21"/>
          <w:lang w:val="en-US" w:eastAsia="zh-CN"/>
        </w:rPr>
        <w:t>的</w:t>
      </w:r>
      <w:r>
        <w:rPr>
          <w:rFonts w:hint="default" w:ascii="Times New Roman" w:hAnsi="Times New Roman" w:cs="Times New Roman"/>
          <w:sz w:val="21"/>
          <w:szCs w:val="21"/>
        </w:rPr>
        <w:t>消耗量，单位为吨或千瓦时（t或kWh）；</w:t>
      </w:r>
    </w:p>
    <w:p>
      <w:pPr>
        <w:snapToGrid w:val="0"/>
        <w:spacing w:line="360" w:lineRule="auto"/>
        <w:ind w:firstLine="420" w:firstLineChars="200"/>
        <w:jc w:val="left"/>
        <w:rPr>
          <w:rFonts w:hint="default" w:ascii="Times New Roman" w:hAnsi="Times New Roman" w:cs="Times New Roman"/>
          <w:color w:val="000000"/>
          <w:lang w:eastAsia="zh-CN"/>
        </w:rPr>
      </w:pPr>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sz w:val="21"/>
          <w:szCs w:val="21"/>
        </w:rPr>
        <w:t>——施工安装</w:t>
      </w:r>
      <w:r>
        <w:rPr>
          <w:rFonts w:hint="default" w:ascii="Times New Roman" w:hAnsi="Times New Roman" w:cs="Times New Roman"/>
          <w:sz w:val="21"/>
          <w:szCs w:val="21"/>
          <w:lang w:val="en-US" w:eastAsia="zh-CN"/>
        </w:rPr>
        <w:t>阶段</w:t>
      </w: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j</w:t>
      </w:r>
      <w:r>
        <w:rPr>
          <w:rFonts w:hint="default" w:ascii="Times New Roman" w:hAnsi="Times New Roman" w:cs="Times New Roman"/>
          <w:sz w:val="21"/>
          <w:szCs w:val="21"/>
        </w:rPr>
        <w:t>种能源的碳排放因子，单位为（kgCO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w:t>
      </w:r>
      <w:r>
        <w:rPr>
          <w:rFonts w:hint="default" w:ascii="Times New Roman" w:hAnsi="Times New Roman" w:cs="Times New Roman"/>
          <w:sz w:val="21"/>
          <w:szCs w:val="21"/>
          <w:lang w:val="en-US" w:eastAsia="zh-CN"/>
        </w:rPr>
        <w:t>kg</w:t>
      </w:r>
      <w:r>
        <w:rPr>
          <w:rFonts w:hint="default" w:ascii="Times New Roman" w:hAnsi="Times New Roman" w:cs="Times New Roman"/>
          <w:sz w:val="21"/>
          <w:szCs w:val="21"/>
        </w:rPr>
        <w:t>或kgCO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e/kWh</w:t>
      </w:r>
      <w:r>
        <w:rPr>
          <w:rFonts w:hint="default" w:ascii="Times New Roman" w:hAnsi="Times New Roman" w:cs="Times New Roman"/>
        </w:rPr>
        <w:t>）</w:t>
      </w:r>
      <w:r>
        <w:rPr>
          <w:rFonts w:hint="default" w:ascii="Times New Roman" w:hAnsi="Times New Roman" w:cs="Times New Roman"/>
          <w:lang w:eastAsia="zh-CN"/>
        </w:rPr>
        <w:t>。</w:t>
      </w:r>
    </w:p>
    <w:p>
      <w:pPr>
        <w:pStyle w:val="111"/>
        <w:spacing w:before="156" w:after="156"/>
        <w:rPr>
          <w:rFonts w:hint="default" w:hAnsi="Times New Roman" w:cs="Times New Roman"/>
        </w:rPr>
      </w:pPr>
      <w:bookmarkStart w:id="198" w:name="_Toc30882"/>
      <w:r>
        <w:rPr>
          <w:rFonts w:hint="default" w:hAnsi="Times New Roman" w:cs="Times New Roman"/>
        </w:rPr>
        <w:t>生命末期阶段</w:t>
      </w:r>
      <w:bookmarkEnd w:id="198"/>
    </w:p>
    <w:p>
      <w:pPr>
        <w:pStyle w:val="62"/>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生命末期阶段温室气体排放应包含预制构件产品拆除过程、预制构件废弃物外运过程及废弃物加工过程，</w:t>
      </w:r>
      <w:r>
        <w:rPr>
          <w:rFonts w:hint="eastAsia" w:ascii="Times New Roman" w:hAnsi="Times New Roman" w:cs="Times New Roman"/>
          <w:lang w:val="en-US" w:eastAsia="zh-CN"/>
        </w:rPr>
        <w:t>见公式（</w:t>
      </w:r>
      <w:r>
        <w:rPr>
          <w:rFonts w:hint="eastAsia" w:ascii="Times New Roman" w:cs="Times New Roman"/>
          <w:lang w:val="en-US" w:eastAsia="zh-CN"/>
        </w:rPr>
        <w:t>5</w:t>
      </w:r>
      <w:r>
        <w:rPr>
          <w:rFonts w:hint="eastAsia" w:ascii="Times New Roman" w:hAnsi="Times New Roman" w:cs="Times New Roman"/>
          <w:lang w:val="en-US" w:eastAsia="zh-CN"/>
        </w:rPr>
        <w:t>）。</w:t>
      </w:r>
    </w:p>
    <w:p>
      <w:pPr>
        <w:pStyle w:val="62"/>
        <w:spacing w:line="360" w:lineRule="auto"/>
        <w:ind w:firstLine="0" w:firstLineChars="0"/>
        <w:jc w:val="center"/>
        <w:rPr>
          <w:rFonts w:hint="default" w:ascii="Times New Roman" w:hAnsi="Times New Roman" w:cs="Times New Roman"/>
          <w:color w:val="000000" w:themeColor="text1"/>
          <w:szCs w:val="21"/>
          <w14:textFill>
            <w14:solidFill>
              <w14:schemeClr w14:val="tx1"/>
            </w14:solidFill>
          </w14:textFill>
        </w:rPr>
      </w:pPr>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C</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MQ</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nary>
          <w:bookmarkStart w:id="199" w:name="OLE_LINK74"/>
          <m:naryPr>
            <m:chr m:val="∑"/>
            <m:limLoc m:val="subSup"/>
            <m:ctrlPr>
              <w:rPr>
                <w:rFonts w:hint="default" w:ascii="Cambria Math" w:hAnsi="Cambria Math" w:cs="Times New Roman"/>
                <w:i/>
                <w:color w:val="000000" w:themeColor="text1"/>
                <w:sz w:val="21"/>
                <w:szCs w:val="21"/>
                <w14:textFill>
                  <w14:solidFill>
                    <w14:schemeClr w14:val="tx1"/>
                  </w14:solidFill>
                </w14:textFill>
              </w:rPr>
            </m:ctrlPr>
          </m:naryPr>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up>
            <m:ctrlPr>
              <w:rPr>
                <w:rFonts w:hint="default" w:ascii="Cambria Math" w:hAnsi="Cambria Math" w:cs="Times New Roman"/>
                <w:i/>
                <w:color w:val="000000" w:themeColor="text1"/>
                <w:sz w:val="21"/>
                <w:szCs w:val="21"/>
                <w14:textFill>
                  <w14:solidFill>
                    <w14:schemeClr w14:val="tx1"/>
                  </w14:solidFill>
                </w14:textFill>
              </w:rPr>
            </m:ctrlPr>
          </m:sup>
          <m:e>
            <m:r>
              <m:rPr/>
              <w:rPr>
                <w:rFonts w:hint="default" w:ascii="Cambria Math" w:hAnsi="Cambria Math" w:cs="Times New Roman"/>
                <w:color w:val="000000" w:themeColor="text1"/>
                <w:sz w:val="21"/>
                <w:szCs w:val="21"/>
                <w:lang w:val="en-US" w:eastAsia="zh-CN"/>
                <w14:textFill>
                  <w14:solidFill>
                    <w14:schemeClr w14:val="tx1"/>
                  </w14:solidFill>
                </w14:textFill>
              </w:rPr>
              <m:t>(</m:t>
            </m:r>
            <m:sSub>
              <m:sSubPr>
                <m:ctrlPr>
                  <w:rPr>
                    <w:rFonts w:hint="default" w:ascii="Cambria Math" w:hAnsi="Cambria Math" w:cs="Times New Roman"/>
                    <w:i/>
                    <w:color w:val="000000" w:themeColor="text1"/>
                    <w:sz w:val="21"/>
                    <w:szCs w:val="21"/>
                    <w:lang w:val="en-US" w:eastAsia="zh-CN"/>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N</m:t>
                </m:r>
                <m:ctrlPr>
                  <w:rPr>
                    <w:rFonts w:hint="default" w:ascii="Cambria Math" w:hAnsi="Cambria Math" w:cs="Times New Roman"/>
                    <w:i/>
                    <w:color w:val="000000" w:themeColor="text1"/>
                    <w:sz w:val="21"/>
                    <w:szCs w:val="21"/>
                    <w:lang w:val="en-US" w:eastAsia="zh-CN"/>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lang w:val="en-US" w:eastAsia="zh-CN"/>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lang w:val="en-US" w:eastAsia="zh-CN"/>
                <w14:textFill>
                  <w14:solidFill>
                    <w14:schemeClr w14:val="tx1"/>
                  </w14:solidFill>
                </w14:textFill>
              </w:rPr>
              <m:t>)</m:t>
            </m:r>
            <m:ctrlPr>
              <w:rPr>
                <w:rFonts w:hint="default" w:ascii="Cambria Math" w:hAnsi="Cambria Math" w:cs="Times New Roman"/>
                <w:i/>
                <w:color w:val="000000" w:themeColor="text1"/>
                <w:sz w:val="21"/>
                <w:szCs w:val="21"/>
                <w14:textFill>
                  <w14:solidFill>
                    <w14:schemeClr w14:val="tx1"/>
                  </w14:solidFill>
                </w14:textFill>
              </w:rPr>
            </m:ctrlPr>
          </m:e>
        </m:nary>
        <m:r>
          <m:rPr/>
          <w:rPr>
            <w:rFonts w:hint="default" w:ascii="Cambria Math" w:hAnsi="Cambria Math" w:cs="Times New Roman"/>
            <w:color w:val="000000" w:themeColor="text1"/>
            <w:sz w:val="21"/>
            <w:szCs w:val="21"/>
            <w14:textFill>
              <w14:solidFill>
                <w14:schemeClr w14:val="tx1"/>
              </w14:solidFill>
            </w14:textFill>
          </w:rPr>
          <m:t>+</m:t>
        </m:r>
        <w:bookmarkEnd w:id="199"/>
        <m:nary>
          <m:naryPr>
            <m:chr m:val="∑"/>
            <m:limLoc m:val="subSup"/>
            <m:ctrlPr>
              <w:rPr>
                <w:rFonts w:hint="default" w:ascii="Cambria Math" w:hAnsi="Cambria Math" w:cs="Times New Roman"/>
                <w:i/>
                <w:color w:val="000000" w:themeColor="text1"/>
                <w:sz w:val="21"/>
                <w:szCs w:val="21"/>
                <w14:textFill>
                  <w14:solidFill>
                    <w14:schemeClr w14:val="tx1"/>
                  </w14:solidFill>
                </w14:textFill>
              </w:rPr>
            </m:ctrlPr>
          </m:naryPr>
          <m:sub>
            <m:r>
              <m:rPr/>
              <w:rPr>
                <w:rFonts w:hint="default" w:ascii="Cambria Math" w:hAnsi="Cambria Math" w:cs="Times New Roman"/>
                <w:color w:val="000000" w:themeColor="text1"/>
                <w:sz w:val="21"/>
                <w:szCs w:val="21"/>
                <w:lang w:val="en-US" w:eastAsia="zh-CN"/>
                <w14:textFill>
                  <w14:solidFill>
                    <w14:schemeClr w14:val="tx1"/>
                  </w14:solidFill>
                </w14:textFill>
              </w:rPr>
              <m:t>k</m:t>
            </m:r>
            <m:ctrlPr>
              <w:rPr>
                <w:rFonts w:hint="default" w:ascii="Cambria Math" w:hAnsi="Cambria Math" w:cs="Times New Roman"/>
                <w:i/>
                <w:color w:val="000000" w:themeColor="text1"/>
                <w:sz w:val="21"/>
                <w:szCs w:val="21"/>
                <w14:textFill>
                  <w14:solidFill>
                    <w14:schemeClr w14:val="tx1"/>
                  </w14:solidFill>
                </w14:textFill>
              </w:rPr>
            </m:ctrlPr>
          </m:sub>
          <m:sup>
            <m:ctrlPr>
              <w:rPr>
                <w:rFonts w:hint="default" w:ascii="Cambria Math" w:hAnsi="Cambria Math" w:cs="Times New Roman"/>
                <w:i/>
                <w:color w:val="000000" w:themeColor="text1"/>
                <w:sz w:val="21"/>
                <w:szCs w:val="21"/>
                <w14:textFill>
                  <w14:solidFill>
                    <w14:schemeClr w14:val="tx1"/>
                  </w14:solidFill>
                </w14:textFill>
              </w:rPr>
            </m:ctrlPr>
          </m:sup>
          <m:e>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k</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Y</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k</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T</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k</m:t>
                </m:r>
                <m:ctrlPr>
                  <w:rPr>
                    <w:rFonts w:hint="default" w:ascii="Cambria Math" w:hAnsi="Cambria Math" w:cs="Times New Roman"/>
                    <w:i/>
                    <w:color w:val="000000" w:themeColor="text1"/>
                    <w:sz w:val="21"/>
                    <w:szCs w:val="21"/>
                    <w14:textFill>
                      <w14:solidFill>
                        <w14:schemeClr w14:val="tx1"/>
                      </w14:solidFill>
                    </w14:textFill>
                  </w:rPr>
                </m:ctrlPr>
              </m:sub>
            </m:sSub>
            <m:r>
              <m:rPr/>
              <w:rPr>
                <w:rFonts w:hint="default" w:ascii="Cambria Math" w:hAnsi="Cambria Math" w:cs="Times New Roman"/>
                <w:color w:val="000000" w:themeColor="text1"/>
                <w:sz w:val="21"/>
                <w:szCs w:val="21"/>
                <w14:textFill>
                  <w14:solidFill>
                    <w14:schemeClr w14:val="tx1"/>
                  </w14:solidFill>
                </w14:textFill>
              </w:rPr>
              <m:t>)+</m:t>
            </m:r>
            <m:ctrlPr>
              <w:rPr>
                <w:rFonts w:hint="default" w:ascii="Cambria Math" w:hAnsi="Cambria Math" w:cs="Times New Roman"/>
                <w:i/>
                <w:color w:val="000000" w:themeColor="text1"/>
                <w:sz w:val="21"/>
                <w:szCs w:val="21"/>
                <w14:textFill>
                  <w14:solidFill>
                    <w14:schemeClr w14:val="tx1"/>
                  </w14:solidFill>
                </w14:textFill>
              </w:rPr>
            </m:ctrlPr>
          </m:e>
        </m:nary>
        <m:nary>
          <m:naryPr>
            <m:chr m:val="∑"/>
            <m:limLoc m:val="subSup"/>
            <m:ctrlPr>
              <w:rPr>
                <w:rFonts w:hint="default" w:ascii="Cambria Math" w:hAnsi="Cambria Math" w:cs="Times New Roman"/>
                <w:i/>
                <w:color w:val="000000" w:themeColor="text1"/>
                <w:sz w:val="21"/>
                <w:szCs w:val="21"/>
                <w14:textFill>
                  <w14:solidFill>
                    <w14:schemeClr w14:val="tx1"/>
                  </w14:solidFill>
                </w14:textFill>
              </w:rPr>
            </m:ctrlPr>
          </m:naryPr>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up>
            <m:ctrlPr>
              <w:rPr>
                <w:rFonts w:hint="default" w:ascii="Cambria Math" w:hAnsi="Cambria Math" w:cs="Times New Roman"/>
                <w:i/>
                <w:color w:val="000000" w:themeColor="text1"/>
                <w:sz w:val="21"/>
                <w:szCs w:val="21"/>
                <w14:textFill>
                  <w14:solidFill>
                    <w14:schemeClr w14:val="tx1"/>
                  </w14:solidFill>
                </w14:textFill>
              </w:rPr>
            </m:ctrlPr>
          </m:sup>
          <m:e>
            <m:r>
              <m:rPr/>
              <w:rPr>
                <w:rFonts w:hint="default" w:ascii="Cambria Math" w:hAnsi="Cambria Math" w:cs="Times New Roman"/>
                <w:color w:val="000000" w:themeColor="text1"/>
                <w:sz w:val="21"/>
                <w:szCs w:val="21"/>
                <w:lang w:val="en-US" w:eastAsia="zh-CN"/>
                <w14:textFill>
                  <w14:solidFill>
                    <w14:schemeClr w14:val="tx1"/>
                  </w14:solidFill>
                </w14:textFill>
              </w:rPr>
              <m:t>(</m:t>
            </m:r>
            <m:sSubSup>
              <m:sSubSupPr>
                <m:ctrlPr>
                  <w:rPr>
                    <w:rFonts w:hint="default" w:ascii="Cambria Math" w:hAnsi="Cambria Math" w:cs="Times New Roman"/>
                    <w:i/>
                    <w:color w:val="000000" w:themeColor="text1"/>
                    <w:sz w:val="21"/>
                    <w:szCs w:val="21"/>
                    <w:lang w:val="en-US" w:eastAsia="zh-CN"/>
                    <w14:textFill>
                      <w14:solidFill>
                        <w14:schemeClr w14:val="tx1"/>
                      </w14:solidFill>
                    </w14:textFill>
                  </w:rPr>
                </m:ctrlPr>
              </m:sSubSupPr>
              <m:e>
                <m:r>
                  <m:rPr/>
                  <w:rPr>
                    <w:rFonts w:hint="default" w:ascii="Cambria Math" w:hAnsi="Cambria Math" w:cs="Times New Roman"/>
                    <w:color w:val="000000" w:themeColor="text1"/>
                    <w:sz w:val="21"/>
                    <w:szCs w:val="21"/>
                    <w:lang w:val="en-US" w:eastAsia="zh-CN"/>
                    <w14:textFill>
                      <w14:solidFill>
                        <w14:schemeClr w14:val="tx1"/>
                      </w14:solidFill>
                    </w14:textFill>
                  </w:rPr>
                  <m:t>N</m:t>
                </m:r>
                <m:ctrlPr>
                  <w:rPr>
                    <w:rFonts w:hint="default" w:ascii="Cambria Math" w:hAnsi="Cambria Math" w:cs="Times New Roman"/>
                    <w:i/>
                    <w:color w:val="000000" w:themeColor="text1"/>
                    <w:sz w:val="21"/>
                    <w:szCs w:val="21"/>
                    <w:lang w:val="en-US" w:eastAsia="zh-CN"/>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lang w:val="en-US" w:eastAsia="zh-CN"/>
                    <w14:textFill>
                      <w14:solidFill>
                        <w14:schemeClr w14:val="tx1"/>
                      </w14:solidFill>
                    </w14:textFill>
                  </w:rPr>
                </m:ctrlPr>
              </m:sub>
              <m:sup>
                <m:r>
                  <m:rPr/>
                  <w:rPr>
                    <w:rFonts w:hint="default" w:ascii="Cambria Math" w:hAnsi="Cambria Math" w:cs="Times New Roman"/>
                    <w:color w:val="000000" w:themeColor="text1"/>
                    <w:sz w:val="21"/>
                    <w:szCs w:val="21"/>
                    <w:lang w:val="en-US" w:eastAsia="zh-CN"/>
                    <w14:textFill>
                      <w14:solidFill>
                        <w14:schemeClr w14:val="tx1"/>
                      </w14:solidFill>
                    </w14:textFill>
                  </w:rPr>
                  <m:t>'</m:t>
                </m:r>
                <m:ctrlPr>
                  <w:rPr>
                    <w:rFonts w:hint="default" w:ascii="Cambria Math" w:hAnsi="Cambria Math" w:cs="Times New Roman"/>
                    <w:i/>
                    <w:color w:val="000000" w:themeColor="text1"/>
                    <w:sz w:val="21"/>
                    <w:szCs w:val="21"/>
                    <w:lang w:val="en-US" w:eastAsia="zh-CN"/>
                    <w14:textFill>
                      <w14:solidFill>
                        <w14:schemeClr w14:val="tx1"/>
                      </w14:solidFill>
                    </w14:textFill>
                  </w:rPr>
                </m:ctrlPr>
              </m:sup>
            </m:sSubSup>
            <m:r>
              <m:rPr/>
              <w:rPr>
                <w:rFonts w:hint="default" w:ascii="Cambria Math" w:hAnsi="Cambria Math" w:cs="Times New Roman"/>
                <w:color w:val="000000" w:themeColor="text1"/>
                <w:sz w:val="21"/>
                <w:szCs w:val="21"/>
                <w14:textFill>
                  <w14:solidFill>
                    <w14:schemeClr w14:val="tx1"/>
                  </w14:solidFill>
                </w14:textFill>
              </w:rPr>
              <m:t>×</m:t>
            </m:r>
            <m:sSubSup>
              <m:sSubSupPr>
                <m:ctrlPr>
                  <w:rPr>
                    <w:rFonts w:hint="default" w:ascii="Cambria Math" w:hAnsi="Cambria Math" w:cs="Times New Roman"/>
                    <w:i/>
                    <w:color w:val="000000" w:themeColor="text1"/>
                    <w:sz w:val="21"/>
                    <w:szCs w:val="21"/>
                    <w14:textFill>
                      <w14:solidFill>
                        <w14:schemeClr w14:val="tx1"/>
                      </w14:solidFill>
                    </w14:textFill>
                  </w:rPr>
                </m:ctrlPr>
              </m:sSubSupPr>
              <m:e>
                <m:r>
                  <m:rPr/>
                  <w:rPr>
                    <w:rFonts w:hint="default" w:ascii="Cambria Math" w:hAnsi="Cambria Math" w:cs="Times New Roman"/>
                    <w:color w:val="000000" w:themeColor="text1"/>
                    <w:sz w:val="21"/>
                    <w:szCs w:val="21"/>
                    <w:lang w:val="en-US" w:eastAsia="zh-CN"/>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up>
                <m:r>
                  <m:rPr/>
                  <w:rPr>
                    <w:rFonts w:hint="default" w:ascii="Cambria Math" w:hAnsi="Cambria Math" w:cs="Times New Roman"/>
                    <w:color w:val="000000" w:themeColor="text1"/>
                    <w:sz w:val="21"/>
                    <w:szCs w:val="21"/>
                    <w:lang w:val="en-US" w:eastAsia="zh-CN"/>
                    <w14:textFill>
                      <w14:solidFill>
                        <w14:schemeClr w14:val="tx1"/>
                      </w14:solidFill>
                    </w14:textFill>
                  </w:rPr>
                  <m:t>'</m:t>
                </m:r>
                <m:ctrlPr>
                  <w:rPr>
                    <w:rFonts w:hint="default" w:ascii="Cambria Math" w:hAnsi="Cambria Math" w:cs="Times New Roman"/>
                    <w:i/>
                    <w:color w:val="000000" w:themeColor="text1"/>
                    <w:sz w:val="21"/>
                    <w:szCs w:val="21"/>
                    <w14:textFill>
                      <w14:solidFill>
                        <w14:schemeClr w14:val="tx1"/>
                      </w14:solidFill>
                    </w14:textFill>
                  </w:rPr>
                </m:ctrlPr>
              </m:sup>
            </m:sSubSup>
            <m:r>
              <m:rPr/>
              <w:rPr>
                <w:rFonts w:hint="default" w:ascii="Cambria Math" w:hAnsi="Cambria Math" w:cs="Times New Roman"/>
                <w:color w:val="000000" w:themeColor="text1"/>
                <w:sz w:val="21"/>
                <w:szCs w:val="21"/>
                <w:lang w:val="en-US" w:eastAsia="zh-CN"/>
                <w14:textFill>
                  <w14:solidFill>
                    <w14:schemeClr w14:val="tx1"/>
                  </w14:solidFill>
                </w14:textFill>
              </w:rPr>
              <m:t>)</m:t>
            </m:r>
            <m:ctrlPr>
              <w:rPr>
                <w:rFonts w:hint="default" w:ascii="Cambria Math" w:hAnsi="Cambria Math" w:cs="Times New Roman"/>
                <w:i/>
                <w:color w:val="000000" w:themeColor="text1"/>
                <w:sz w:val="21"/>
                <w:szCs w:val="21"/>
                <w14:textFill>
                  <w14:solidFill>
                    <w14:schemeClr w14:val="tx1"/>
                  </w14:solidFill>
                </w14:textFill>
              </w:rPr>
            </m:ctrlPr>
          </m:e>
        </m:nary>
      </m:oMath>
      <w:r>
        <w:rPr>
          <w:rFonts w:hint="default" w:ascii="Times New Roman" w:hAnsi="Times New Roman" w:cs="Times New Roman"/>
          <w:i w:val="0"/>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w:t>
      </w:r>
    </w:p>
    <w:p>
      <w:pPr>
        <w:snapToGrid w:val="0"/>
        <w:spacing w:line="360" w:lineRule="auto"/>
        <w:ind w:firstLine="42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式中：</w:t>
      </w:r>
    </w:p>
    <w:p>
      <w:pPr>
        <w:snapToGrid w:val="0"/>
        <w:spacing w:line="360" w:lineRule="auto"/>
        <w:ind w:firstLine="420" w:firstLineChars="200"/>
        <w:jc w:val="left"/>
        <w:rPr>
          <w:rFonts w:hint="default" w:ascii="Times New Roman" w:hAnsi="Times New Roman" w:cs="Times New Roman"/>
          <w:color w:val="000000" w:themeColor="text1"/>
          <w:sz w:val="21"/>
          <w:szCs w:val="21"/>
          <w14:textFill>
            <w14:solidFill>
              <w14:schemeClr w14:val="tx1"/>
            </w14:solidFill>
          </w14:textFill>
        </w:rPr>
      </w:pPr>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C</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14:textFill>
                  <w14:solidFill>
                    <w14:schemeClr w14:val="tx1"/>
                  </w14:solidFill>
                </w14:textFill>
              </w:rPr>
              <m:t>MQ</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color w:val="000000" w:themeColor="text1"/>
          <w:sz w:val="21"/>
          <w:szCs w:val="21"/>
          <w14:textFill>
            <w14:solidFill>
              <w14:schemeClr w14:val="tx1"/>
            </w14:solidFill>
          </w14:textFill>
        </w:rPr>
        <w:t xml:space="preserve"> ——</w:t>
      </w:r>
      <w:bookmarkStart w:id="200" w:name="OLE_LINK37"/>
      <w:r>
        <w:rPr>
          <w:rFonts w:hint="default" w:ascii="Times New Roman" w:hAnsi="Times New Roman" w:cs="Times New Roman"/>
          <w:sz w:val="21"/>
          <w:szCs w:val="21"/>
        </w:rPr>
        <w:t>生命末期阶段碳排放量，单位为千克二氧化碳当量</w:t>
      </w:r>
      <w:r>
        <w:rPr>
          <w:rFonts w:hint="default" w:ascii="Times New Roman" w:hAnsi="Times New Roman" w:cs="Times New Roman"/>
          <w:sz w:val="21"/>
          <w:szCs w:val="21"/>
          <w:lang w:eastAsia="zh-CN"/>
        </w:rPr>
        <w:t>（</w:t>
      </w:r>
      <w:r>
        <w:rPr>
          <w:rFonts w:hint="default" w:ascii="Times New Roman" w:hAnsi="Times New Roman" w:cs="Times New Roman"/>
          <w:color w:val="000000" w:themeColor="text1"/>
          <w:sz w:val="21"/>
          <w:szCs w:val="21"/>
          <w:lang w:val="en-US" w:eastAsia="zh-CN"/>
          <w14:textFill>
            <w14:solidFill>
              <w14:schemeClr w14:val="tx1"/>
            </w14:solidFill>
          </w14:textFill>
        </w:rPr>
        <w:t>kg</w:t>
      </w:r>
      <w:r>
        <w:rPr>
          <w:rFonts w:hint="default" w:ascii="Times New Roman" w:hAnsi="Times New Roman" w:cs="Times New Roman"/>
          <w:color w:val="000000" w:themeColor="text1"/>
          <w:sz w:val="21"/>
          <w:szCs w:val="21"/>
          <w14:textFill>
            <w14:solidFill>
              <w14:schemeClr w14:val="tx1"/>
            </w14:solidFill>
          </w14:textFill>
        </w:rPr>
        <w:t>CO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e</w:t>
      </w:r>
      <w:r>
        <w:rPr>
          <w:rFonts w:hint="default" w:ascii="Times New Roman" w:hAnsi="Times New Roman" w:cs="Times New Roman"/>
          <w:sz w:val="21"/>
          <w:szCs w:val="21"/>
          <w:lang w:eastAsia="zh-CN"/>
        </w:rPr>
        <w:t>）</w:t>
      </w:r>
      <w:r>
        <w:rPr>
          <w:rFonts w:hint="default" w:ascii="Times New Roman" w:hAnsi="Times New Roman" w:cs="Times New Roman"/>
          <w:color w:val="000000" w:themeColor="text1"/>
          <w:sz w:val="21"/>
          <w:szCs w:val="21"/>
          <w14:textFill>
            <w14:solidFill>
              <w14:schemeClr w14:val="tx1"/>
            </w14:solidFill>
          </w14:textFill>
        </w:rPr>
        <w:t>；</w:t>
      </w:r>
      <w:bookmarkEnd w:id="200"/>
    </w:p>
    <w:p>
      <w:pPr>
        <w:snapToGrid w:val="0"/>
        <w:spacing w:line="360" w:lineRule="auto"/>
        <w:ind w:firstLine="420" w:firstLineChars="200"/>
        <w:jc w:val="left"/>
        <w:rPr>
          <w:rFonts w:hint="default" w:ascii="Times New Roman" w:hAnsi="Times New Roman" w:cs="Times New Roman"/>
          <w:color w:val="000000" w:themeColor="text1"/>
          <w:sz w:val="21"/>
          <w:szCs w:val="21"/>
          <w14:textFill>
            <w14:solidFill>
              <w14:schemeClr w14:val="tx1"/>
            </w14:solidFill>
          </w14:textFill>
        </w:rPr>
      </w:pPr>
      <w:bookmarkStart w:id="201" w:name="OLE_LINK44"/>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lang w:val="en-US" w:eastAsia="zh-CN"/>
                <w14:textFill>
                  <w14:solidFill>
                    <w14:schemeClr w14:val="tx1"/>
                  </w14:solidFill>
                </w14:textFill>
              </w:rPr>
              <m:t>N</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oMath>
      <w:bookmarkStart w:id="202" w:name="OLE_LINK68"/>
      <w:r>
        <w:rPr>
          <w:rFonts w:hint="default" w:ascii="Times New Roman" w:hAnsi="Times New Roman" w:cs="Times New Roman"/>
          <w:color w:val="000000" w:themeColor="text1"/>
          <w:sz w:val="21"/>
          <w:szCs w:val="21"/>
          <w14:textFill>
            <w14:solidFill>
              <w14:schemeClr w14:val="tx1"/>
            </w14:solidFill>
          </w14:textFill>
        </w:rPr>
        <w:t xml:space="preserve"> ——</w:t>
      </w:r>
      <w:bookmarkEnd w:id="202"/>
      <w:r>
        <w:rPr>
          <w:rFonts w:hint="default" w:ascii="Times New Roman" w:hAnsi="Times New Roman" w:cs="Times New Roman"/>
          <w:color w:val="000000" w:themeColor="text1"/>
          <w:sz w:val="21"/>
          <w:szCs w:val="21"/>
          <w14:textFill>
            <w14:solidFill>
              <w14:schemeClr w14:val="tx1"/>
            </w14:solidFill>
          </w14:textFill>
        </w:rPr>
        <w:t xml:space="preserve"> </w:t>
      </w:r>
      <w:bookmarkStart w:id="203" w:name="OLE_LINK13"/>
      <w:r>
        <w:rPr>
          <w:rFonts w:hint="default" w:ascii="Times New Roman" w:hAnsi="Times New Roman" w:cs="Times New Roman"/>
          <w:color w:val="000000" w:themeColor="text1"/>
          <w:sz w:val="21"/>
          <w:szCs w:val="21"/>
          <w14:textFill>
            <w14:solidFill>
              <w14:schemeClr w14:val="tx1"/>
            </w14:solidFill>
          </w14:textFill>
        </w:rPr>
        <w:t>生命末期阶段</w:t>
      </w:r>
      <w:bookmarkEnd w:id="203"/>
      <w:r>
        <w:rPr>
          <w:rFonts w:hint="default" w:ascii="Times New Roman" w:hAnsi="Times New Roman" w:cs="Times New Roman"/>
          <w:color w:val="000000" w:themeColor="text1"/>
          <w:sz w:val="21"/>
          <w:szCs w:val="21"/>
          <w14:textFill>
            <w14:solidFill>
              <w14:schemeClr w14:val="tx1"/>
            </w14:solidFill>
          </w14:textFill>
        </w:rPr>
        <w:t>拆除过程</w:t>
      </w: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j</w:t>
      </w:r>
      <w:r>
        <w:rPr>
          <w:rFonts w:hint="default" w:ascii="Times New Roman" w:hAnsi="Times New Roman" w:cs="Times New Roman"/>
          <w:sz w:val="21"/>
          <w:szCs w:val="21"/>
        </w:rPr>
        <w:t>种能源的消耗量</w:t>
      </w:r>
      <w:r>
        <w:rPr>
          <w:rFonts w:hint="default" w:ascii="Times New Roman" w:hAnsi="Times New Roman" w:cs="Times New Roman"/>
          <w:color w:val="000000" w:themeColor="text1"/>
          <w:sz w:val="21"/>
          <w:szCs w:val="21"/>
          <w14:textFill>
            <w14:solidFill>
              <w14:schemeClr w14:val="tx1"/>
            </w14:solidFill>
          </w14:textFill>
        </w:rPr>
        <w:t>，单位为吨或千瓦时（t或kWh）；</w:t>
      </w:r>
    </w:p>
    <w:p>
      <w:pPr>
        <w:snapToGrid w:val="0"/>
        <w:spacing w:line="360" w:lineRule="auto"/>
        <w:ind w:firstLine="420" w:firstLineChars="200"/>
        <w:jc w:val="left"/>
        <w:rPr>
          <w:rFonts w:hint="default" w:ascii="Times New Roman" w:hAnsi="Times New Roman" w:cs="Times New Roman"/>
          <w:sz w:val="21"/>
          <w:szCs w:val="21"/>
        </w:rPr>
      </w:pPr>
      <m:oMath>
        <m:sSub>
          <m:sSubPr>
            <m:ctrlPr>
              <w:rPr>
                <w:rFonts w:hint="default" w:ascii="Cambria Math" w:hAnsi="Cambria Math" w:cs="Times New Roman"/>
                <w:i/>
                <w:color w:val="000000" w:themeColor="text1"/>
                <w:sz w:val="21"/>
                <w:szCs w:val="21"/>
                <w14:textFill>
                  <w14:solidFill>
                    <w14:schemeClr w14:val="tx1"/>
                  </w14:solidFill>
                </w14:textFill>
              </w:rPr>
            </m:ctrlPr>
          </m:sSubPr>
          <m:e>
            <m:r>
              <m:rPr/>
              <w:rPr>
                <w:rFonts w:hint="default" w:ascii="Cambria Math" w:hAnsi="Cambria Math" w:cs="Times New Roman"/>
                <w:color w:val="000000" w:themeColor="text1"/>
                <w:sz w:val="21"/>
                <w:szCs w:val="21"/>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Sub>
      </m:oMath>
      <w:r>
        <w:rPr>
          <w:rFonts w:hint="default" w:ascii="Times New Roman" w:hAnsi="Times New Roman" w:cs="Times New Roman"/>
          <w:color w:val="000000" w:themeColor="text1"/>
          <w:sz w:val="21"/>
          <w:szCs w:val="21"/>
          <w14:textFill>
            <w14:solidFill>
              <w14:schemeClr w14:val="tx1"/>
            </w14:solidFill>
          </w14:textFill>
        </w:rPr>
        <w:t>—— 生命末期阶段拆除过程</w:t>
      </w: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j</w:t>
      </w:r>
      <w:r>
        <w:rPr>
          <w:rFonts w:hint="default" w:ascii="Times New Roman" w:hAnsi="Times New Roman" w:cs="Times New Roman"/>
          <w:sz w:val="21"/>
          <w:szCs w:val="21"/>
        </w:rPr>
        <w:t>种能源的碳排放因子，单位为（kgCO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w:t>
      </w:r>
      <w:r>
        <w:rPr>
          <w:rFonts w:hint="default" w:ascii="Times New Roman" w:hAnsi="Times New Roman" w:cs="Times New Roman"/>
          <w:sz w:val="21"/>
          <w:szCs w:val="21"/>
          <w:lang w:val="en-US" w:eastAsia="zh-CN"/>
        </w:rPr>
        <w:t>kg</w:t>
      </w:r>
      <w:r>
        <w:rPr>
          <w:rFonts w:hint="default" w:ascii="Times New Roman" w:hAnsi="Times New Roman" w:cs="Times New Roman"/>
          <w:sz w:val="21"/>
          <w:szCs w:val="21"/>
        </w:rPr>
        <w:t>或kgCO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e/kWh）；</w:t>
      </w:r>
    </w:p>
    <w:p>
      <w:pPr>
        <w:snapToGrid w:val="0"/>
        <w:spacing w:line="360" w:lineRule="auto"/>
        <w:ind w:firstLine="420" w:firstLineChars="200"/>
        <w:jc w:val="left"/>
        <w:rPr>
          <w:rFonts w:hint="default" w:ascii="Times New Roman" w:hAnsi="Times New Roman" w:cs="Times New Roman"/>
          <w:color w:val="000000" w:themeColor="text1"/>
          <w:sz w:val="21"/>
          <w:szCs w:val="21"/>
          <w:highlight w:val="none"/>
          <w14:textFill>
            <w14:solidFill>
              <w14:schemeClr w14:val="tx1"/>
            </w14:solidFill>
          </w14:textFill>
        </w:rPr>
      </w:pPr>
      <m:oMath>
        <m:sSub>
          <m:sSubPr>
            <m:ctrlPr>
              <w:rPr>
                <w:rFonts w:hint="default" w:ascii="Cambria Math" w:hAnsi="Cambria Math" w:cs="Times New Roman"/>
                <w:i/>
                <w:color w:val="000000" w:themeColor="text1"/>
                <w:sz w:val="21"/>
                <w:szCs w:val="21"/>
                <w:highlight w:val="none"/>
                <w14:textFill>
                  <w14:solidFill>
                    <w14:schemeClr w14:val="tx1"/>
                  </w14:solidFill>
                </w14:textFill>
              </w:rPr>
            </m:ctrlPr>
          </m:sSubPr>
          <m:e>
            <m:r>
              <m:rPr/>
              <w:rPr>
                <w:rFonts w:hint="default" w:ascii="Cambria Math" w:hAnsi="Cambria Math" w:cs="Times New Roman"/>
                <w:color w:val="000000" w:themeColor="text1"/>
                <w:sz w:val="21"/>
                <w:szCs w:val="21"/>
                <w:highlight w:val="none"/>
                <w:lang w:val="en-US" w:eastAsia="zh-CN"/>
                <w14:textFill>
                  <w14:solidFill>
                    <w14:schemeClr w14:val="tx1"/>
                  </w14:solidFill>
                </w14:textFill>
              </w:rPr>
              <m:t>F</m:t>
            </m:r>
            <m:ctrlPr>
              <w:rPr>
                <w:rFonts w:hint="default" w:ascii="Cambria Math" w:hAnsi="Cambria Math" w:cs="Times New Roman"/>
                <w:i/>
                <w:color w:val="000000" w:themeColor="text1"/>
                <w:sz w:val="21"/>
                <w:szCs w:val="21"/>
                <w:highlight w:val="none"/>
                <w14:textFill>
                  <w14:solidFill>
                    <w14:schemeClr w14:val="tx1"/>
                  </w14:solidFill>
                </w14:textFill>
              </w:rPr>
            </m:ctrlPr>
          </m:e>
          <m:sub>
            <m:r>
              <m:rPr/>
              <w:rPr>
                <w:rFonts w:hint="default" w:ascii="Cambria Math" w:hAnsi="Cambria Math" w:cs="Times New Roman"/>
                <w:color w:val="000000" w:themeColor="text1"/>
                <w:sz w:val="21"/>
                <w:szCs w:val="21"/>
                <w:highlight w:val="none"/>
                <w14:textFill>
                  <w14:solidFill>
                    <w14:schemeClr w14:val="tx1"/>
                  </w14:solidFill>
                </w14:textFill>
              </w:rPr>
              <m:t>k</m:t>
            </m:r>
            <m:ctrlPr>
              <w:rPr>
                <w:rFonts w:hint="default" w:ascii="Cambria Math" w:hAnsi="Cambria Math" w:cs="Times New Roman"/>
                <w:i/>
                <w:color w:val="000000" w:themeColor="text1"/>
                <w:sz w:val="21"/>
                <w:szCs w:val="21"/>
                <w:highlight w:val="none"/>
                <w14:textFill>
                  <w14:solidFill>
                    <w14:schemeClr w14:val="tx1"/>
                  </w14:solidFill>
                </w14:textFill>
              </w:rPr>
            </m:ctrlPr>
          </m:sub>
        </m:sSub>
      </m:oMath>
      <w:r>
        <w:rPr>
          <w:rFonts w:hint="default" w:ascii="Times New Roman" w:hAnsi="Times New Roman" w:cs="Times New Roman"/>
          <w:color w:val="000000" w:themeColor="text1"/>
          <w:sz w:val="21"/>
          <w:szCs w:val="21"/>
          <w:highlight w:val="none"/>
          <w14:textFill>
            <w14:solidFill>
              <w14:schemeClr w14:val="tx1"/>
            </w14:solidFill>
          </w14:textFill>
        </w:rPr>
        <w:t xml:space="preserve"> —— 生命末期阶段使用第</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w:t>
      </w:r>
      <w:r>
        <w:rPr>
          <w:rFonts w:hint="default" w:ascii="Times New Roman" w:hAnsi="Times New Roman" w:cs="Times New Roman"/>
          <w:color w:val="000000" w:themeColor="text1"/>
          <w:sz w:val="21"/>
          <w:szCs w:val="21"/>
          <w:highlight w:val="none"/>
          <w14:textFill>
            <w14:solidFill>
              <w14:schemeClr w14:val="tx1"/>
            </w14:solidFill>
          </w14:textFill>
        </w:rPr>
        <w:t>种运输工具运送的废弃物重量，单位为吨（t）；</w:t>
      </w:r>
    </w:p>
    <w:p>
      <w:pPr>
        <w:snapToGrid w:val="0"/>
        <w:spacing w:line="360" w:lineRule="auto"/>
        <w:ind w:firstLine="420" w:firstLineChars="200"/>
        <w:jc w:val="left"/>
        <w:rPr>
          <w:rFonts w:hint="default" w:ascii="Times New Roman" w:hAnsi="Times New Roman" w:cs="Times New Roman"/>
          <w:color w:val="000000" w:themeColor="text1"/>
          <w:sz w:val="21"/>
          <w:szCs w:val="21"/>
          <w:highlight w:val="none"/>
          <w14:textFill>
            <w14:solidFill>
              <w14:schemeClr w14:val="tx1"/>
            </w14:solidFill>
          </w14:textFill>
        </w:rPr>
      </w:pPr>
      <m:oMath>
        <m:sSub>
          <m:sSubPr>
            <m:ctrlPr>
              <w:rPr>
                <w:rFonts w:hint="default" w:ascii="Cambria Math" w:hAnsi="Cambria Math" w:cs="Times New Roman"/>
                <w:i/>
                <w:color w:val="000000" w:themeColor="text1"/>
                <w:sz w:val="21"/>
                <w:szCs w:val="21"/>
                <w:highlight w:val="none"/>
                <w14:textFill>
                  <w14:solidFill>
                    <w14:schemeClr w14:val="tx1"/>
                  </w14:solidFill>
                </w14:textFill>
              </w:rPr>
            </m:ctrlPr>
          </m:sSubPr>
          <m:e>
            <m:r>
              <m:rPr/>
              <w:rPr>
                <w:rFonts w:hint="default" w:ascii="Cambria Math" w:hAnsi="Cambria Math" w:cs="Times New Roman"/>
                <w:color w:val="000000" w:themeColor="text1"/>
                <w:sz w:val="21"/>
                <w:szCs w:val="21"/>
                <w:highlight w:val="none"/>
                <w:lang w:val="en-US" w:eastAsia="zh-CN"/>
                <w14:textFill>
                  <w14:solidFill>
                    <w14:schemeClr w14:val="tx1"/>
                  </w14:solidFill>
                </w14:textFill>
              </w:rPr>
              <m:t>Y</m:t>
            </m:r>
            <m:ctrlPr>
              <w:rPr>
                <w:rFonts w:hint="default" w:ascii="Cambria Math" w:hAnsi="Cambria Math" w:cs="Times New Roman"/>
                <w:i/>
                <w:color w:val="000000" w:themeColor="text1"/>
                <w:sz w:val="21"/>
                <w:szCs w:val="21"/>
                <w:highlight w:val="none"/>
                <w14:textFill>
                  <w14:solidFill>
                    <w14:schemeClr w14:val="tx1"/>
                  </w14:solidFill>
                </w14:textFill>
              </w:rPr>
            </m:ctrlPr>
          </m:e>
          <m:sub>
            <m:r>
              <m:rPr/>
              <w:rPr>
                <w:rFonts w:hint="default" w:ascii="Cambria Math" w:hAnsi="Cambria Math" w:cs="Times New Roman"/>
                <w:color w:val="000000" w:themeColor="text1"/>
                <w:sz w:val="21"/>
                <w:szCs w:val="21"/>
                <w:highlight w:val="none"/>
                <w14:textFill>
                  <w14:solidFill>
                    <w14:schemeClr w14:val="tx1"/>
                  </w14:solidFill>
                </w14:textFill>
              </w:rPr>
              <m:t>k</m:t>
            </m:r>
            <m:ctrlPr>
              <w:rPr>
                <w:rFonts w:hint="default" w:ascii="Cambria Math" w:hAnsi="Cambria Math" w:cs="Times New Roman"/>
                <w:i/>
                <w:color w:val="000000" w:themeColor="text1"/>
                <w:sz w:val="21"/>
                <w:szCs w:val="21"/>
                <w:highlight w:val="none"/>
                <w14:textFill>
                  <w14:solidFill>
                    <w14:schemeClr w14:val="tx1"/>
                  </w14:solidFill>
                </w14:textFill>
              </w:rPr>
            </m:ctrlPr>
          </m:sub>
        </m:sSub>
      </m:oMath>
      <w:r>
        <w:rPr>
          <w:rFonts w:hint="default" w:ascii="Times New Roman" w:hAnsi="Times New Roman" w:cs="Times New Roman"/>
          <w:color w:val="000000" w:themeColor="text1"/>
          <w:sz w:val="21"/>
          <w:szCs w:val="21"/>
          <w:highlight w:val="none"/>
          <w14:textFill>
            <w14:solidFill>
              <w14:schemeClr w14:val="tx1"/>
            </w14:solidFill>
          </w14:textFill>
        </w:rPr>
        <w:t xml:space="preserve"> ——生命末期阶段使用第</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w:t>
      </w:r>
      <w:r>
        <w:rPr>
          <w:rFonts w:hint="default" w:ascii="Times New Roman" w:hAnsi="Times New Roman" w:cs="Times New Roman"/>
          <w:color w:val="000000" w:themeColor="text1"/>
          <w:sz w:val="21"/>
          <w:szCs w:val="21"/>
          <w:highlight w:val="none"/>
          <w14:textFill>
            <w14:solidFill>
              <w14:schemeClr w14:val="tx1"/>
            </w14:solidFill>
          </w14:textFill>
        </w:rPr>
        <w:t>种运输工具运送废弃物的运输距离，单位为千米（km）；</w:t>
      </w:r>
    </w:p>
    <w:p>
      <w:pPr>
        <w:snapToGrid w:val="0"/>
        <w:spacing w:line="360" w:lineRule="auto"/>
        <w:ind w:firstLine="420" w:firstLineChars="200"/>
        <w:jc w:val="left"/>
        <w:rPr>
          <w:rFonts w:hint="default" w:ascii="Times New Roman" w:hAnsi="Times New Roman" w:cs="Times New Roman"/>
          <w:color w:val="000000" w:themeColor="text1"/>
          <w:sz w:val="21"/>
          <w:szCs w:val="21"/>
          <w:highlight w:val="none"/>
          <w14:textFill>
            <w14:solidFill>
              <w14:schemeClr w14:val="tx1"/>
            </w14:solidFill>
          </w14:textFill>
        </w:rPr>
      </w:pPr>
      <m:oMath>
        <m:sSub>
          <m:sSubPr>
            <m:ctrlPr>
              <w:rPr>
                <w:rFonts w:hint="default" w:ascii="Cambria Math" w:hAnsi="Cambria Math" w:cs="Times New Roman"/>
                <w:i/>
                <w:color w:val="000000" w:themeColor="text1"/>
                <w:sz w:val="21"/>
                <w:szCs w:val="21"/>
                <w:highlight w:val="none"/>
                <w14:textFill>
                  <w14:solidFill>
                    <w14:schemeClr w14:val="tx1"/>
                  </w14:solidFill>
                </w14:textFill>
              </w:rPr>
            </m:ctrlPr>
          </m:sSubPr>
          <m:e>
            <m:r>
              <m:rPr/>
              <w:rPr>
                <w:rFonts w:hint="default" w:ascii="Cambria Math" w:hAnsi="Cambria Math" w:cs="Times New Roman"/>
                <w:color w:val="000000" w:themeColor="text1"/>
                <w:sz w:val="21"/>
                <w:szCs w:val="21"/>
                <w:highlight w:val="none"/>
                <w:lang w:val="en-US" w:eastAsia="zh-CN"/>
                <w14:textFill>
                  <w14:solidFill>
                    <w14:schemeClr w14:val="tx1"/>
                  </w14:solidFill>
                </w14:textFill>
              </w:rPr>
              <m:t>T</m:t>
            </m:r>
            <m:ctrlPr>
              <w:rPr>
                <w:rFonts w:hint="default" w:ascii="Cambria Math" w:hAnsi="Cambria Math" w:cs="Times New Roman"/>
                <w:i/>
                <w:color w:val="000000" w:themeColor="text1"/>
                <w:sz w:val="21"/>
                <w:szCs w:val="21"/>
                <w:highlight w:val="none"/>
                <w14:textFill>
                  <w14:solidFill>
                    <w14:schemeClr w14:val="tx1"/>
                  </w14:solidFill>
                </w14:textFill>
              </w:rPr>
            </m:ctrlPr>
          </m:e>
          <m:sub>
            <m:r>
              <m:rPr/>
              <w:rPr>
                <w:rFonts w:hint="default" w:ascii="Cambria Math" w:hAnsi="Cambria Math" w:cs="Times New Roman"/>
                <w:color w:val="000000" w:themeColor="text1"/>
                <w:sz w:val="21"/>
                <w:szCs w:val="21"/>
                <w:highlight w:val="none"/>
                <w14:textFill>
                  <w14:solidFill>
                    <w14:schemeClr w14:val="tx1"/>
                  </w14:solidFill>
                </w14:textFill>
              </w:rPr>
              <m:t>k</m:t>
            </m:r>
            <m:ctrlPr>
              <w:rPr>
                <w:rFonts w:hint="default" w:ascii="Cambria Math" w:hAnsi="Cambria Math" w:cs="Times New Roman"/>
                <w:i/>
                <w:color w:val="000000" w:themeColor="text1"/>
                <w:sz w:val="21"/>
                <w:szCs w:val="21"/>
                <w:highlight w:val="none"/>
                <w14:textFill>
                  <w14:solidFill>
                    <w14:schemeClr w14:val="tx1"/>
                  </w14:solidFill>
                </w14:textFill>
              </w:rPr>
            </m:ctrlPr>
          </m:sub>
        </m:sSub>
      </m:oMath>
      <w:r>
        <w:rPr>
          <w:rFonts w:hint="default" w:ascii="Times New Roman" w:hAnsi="Times New Roman" w:cs="Times New Roman"/>
          <w:i w:val="0"/>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cs="Times New Roman"/>
          <w:sz w:val="21"/>
          <w:szCs w:val="21"/>
          <w:highlight w:val="none"/>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第k种运输工具</w:t>
      </w:r>
      <w:r>
        <w:rPr>
          <w:rFonts w:hint="default" w:ascii="Times New Roman" w:hAnsi="Times New Roman" w:cs="Times New Roman"/>
          <w:color w:val="000000"/>
          <w:sz w:val="21"/>
          <w:szCs w:val="21"/>
          <w:highlight w:val="none"/>
          <w:lang w:val="en-US" w:eastAsia="zh-CN"/>
        </w:rPr>
        <w:t>的运输</w:t>
      </w:r>
      <w:r>
        <w:rPr>
          <w:rFonts w:hint="default" w:ascii="Times New Roman" w:hAnsi="Times New Roman" w:cs="Times New Roman"/>
          <w:color w:val="000000"/>
          <w:sz w:val="21"/>
          <w:szCs w:val="21"/>
          <w:highlight w:val="none"/>
        </w:rPr>
        <w:t>因子，单位</w:t>
      </w:r>
      <w:r>
        <w:rPr>
          <w:rFonts w:hint="default" w:ascii="Times New Roman" w:hAnsi="Times New Roman" w:cs="Times New Roman"/>
          <w:color w:val="000000"/>
          <w:sz w:val="21"/>
          <w:szCs w:val="21"/>
          <w:highlight w:val="none"/>
          <w:lang w:val="en-US" w:eastAsia="zh-CN"/>
        </w:rPr>
        <w:t>重量运输距离的碳排放因子</w:t>
      </w:r>
      <w:r>
        <w:rPr>
          <w:rFonts w:hint="default" w:ascii="Times New Roman" w:hAnsi="Times New Roman" w:cs="Times New Roman"/>
          <w:color w:val="000000"/>
          <w:sz w:val="21"/>
          <w:szCs w:val="21"/>
          <w:highlight w:val="none"/>
        </w:rPr>
        <w:t>（kgCO</w:t>
      </w:r>
      <w:r>
        <w:rPr>
          <w:rFonts w:hint="default" w:ascii="Times New Roman" w:hAnsi="Times New Roman" w:cs="Times New Roman"/>
          <w:color w:val="000000"/>
          <w:sz w:val="21"/>
          <w:szCs w:val="21"/>
          <w:highlight w:val="none"/>
          <w:vertAlign w:val="subscript"/>
        </w:rPr>
        <w:t>2</w:t>
      </w:r>
      <w:r>
        <w:rPr>
          <w:rFonts w:hint="default" w:ascii="Times New Roman" w:hAnsi="Times New Roman" w:cs="Times New Roman"/>
          <w:color w:val="000000"/>
          <w:sz w:val="21"/>
          <w:szCs w:val="21"/>
          <w:highlight w:val="none"/>
        </w:rPr>
        <w:t>e/</w:t>
      </w:r>
      <w:r>
        <w:rPr>
          <w:rFonts w:hint="default" w:ascii="Times New Roman" w:hAnsi="Times New Roman" w:cs="Times New Roman"/>
          <w:color w:val="000000"/>
          <w:sz w:val="21"/>
          <w:szCs w:val="21"/>
          <w:highlight w:val="none"/>
          <w:lang w:val="en-US" w:eastAsia="zh-CN"/>
        </w:rPr>
        <w:t>t</w:t>
      </w:r>
      <w:r>
        <w:rPr>
          <w:rFonts w:hint="default" w:ascii="Times New Roman" w:hAnsi="Times New Roman" w:cs="Times New Roman"/>
          <w:color w:val="000000"/>
          <w:sz w:val="21"/>
          <w:szCs w:val="21"/>
          <w:highlight w:val="none"/>
        </w:rPr>
        <w:t>·km）</w:t>
      </w:r>
      <w:r>
        <w:rPr>
          <w:rFonts w:hint="default" w:ascii="Times New Roman" w:hAnsi="Times New Roman" w:cs="Times New Roman"/>
          <w:color w:val="000000"/>
          <w:sz w:val="21"/>
          <w:szCs w:val="21"/>
          <w:highlight w:val="none"/>
          <w:lang w:eastAsia="zh-CN"/>
        </w:rPr>
        <w:t>；</w:t>
      </w:r>
    </w:p>
    <w:p>
      <w:pPr>
        <w:snapToGrid w:val="0"/>
        <w:spacing w:line="360" w:lineRule="auto"/>
        <w:ind w:firstLine="420" w:firstLineChars="200"/>
        <w:jc w:val="left"/>
        <w:rPr>
          <w:rFonts w:hint="default" w:ascii="Times New Roman" w:hAnsi="Times New Roman" w:cs="Times New Roman"/>
          <w:color w:val="000000" w:themeColor="text1"/>
          <w:sz w:val="21"/>
          <w:szCs w:val="21"/>
          <w14:textFill>
            <w14:solidFill>
              <w14:schemeClr w14:val="tx1"/>
            </w14:solidFill>
          </w14:textFill>
        </w:rPr>
      </w:pPr>
      <m:oMath>
        <m:sSubSup>
          <m:sSubSupPr>
            <m:ctrlPr>
              <w:rPr>
                <w:rFonts w:hint="default" w:ascii="Cambria Math" w:hAnsi="Cambria Math" w:cs="Times New Roman"/>
                <w:i/>
                <w:color w:val="000000" w:themeColor="text1"/>
                <w:sz w:val="21"/>
                <w:szCs w:val="21"/>
                <w14:textFill>
                  <w14:solidFill>
                    <w14:schemeClr w14:val="tx1"/>
                  </w14:solidFill>
                </w14:textFill>
              </w:rPr>
            </m:ctrlPr>
          </m:sSubSupPr>
          <m:e>
            <m:r>
              <m:rPr/>
              <w:rPr>
                <w:rFonts w:hint="default" w:ascii="Cambria Math" w:hAnsi="Cambria Math" w:cs="Times New Roman"/>
                <w:color w:val="000000" w:themeColor="text1"/>
                <w:sz w:val="21"/>
                <w:szCs w:val="21"/>
                <w:lang w:val="en-US" w:eastAsia="zh-CN"/>
                <w14:textFill>
                  <w14:solidFill>
                    <w14:schemeClr w14:val="tx1"/>
                  </w14:solidFill>
                </w14:textFill>
              </w:rPr>
              <m:t>N</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up>
            <m:r>
              <m:rPr/>
              <w:rPr>
                <w:rFonts w:hint="default" w:ascii="Cambria Math" w:hAnsi="Cambria Math" w:cs="Times New Roman"/>
                <w:color w:val="000000" w:themeColor="text1"/>
                <w:sz w:val="21"/>
                <w:szCs w:val="21"/>
                <w:lang w:val="en-US" w:eastAsia="zh-CN"/>
                <w14:textFill>
                  <w14:solidFill>
                    <w14:schemeClr w14:val="tx1"/>
                  </w14:solidFill>
                </w14:textFill>
              </w:rPr>
              <m:t>'</m:t>
            </m:r>
            <m:ctrlPr>
              <w:rPr>
                <w:rFonts w:hint="default" w:ascii="Cambria Math" w:hAnsi="Cambria Math" w:cs="Times New Roman"/>
                <w:i/>
                <w:color w:val="000000" w:themeColor="text1"/>
                <w:sz w:val="21"/>
                <w:szCs w:val="21"/>
                <w14:textFill>
                  <w14:solidFill>
                    <w14:schemeClr w14:val="tx1"/>
                  </w14:solidFill>
                </w14:textFill>
              </w:rPr>
            </m:ctrlPr>
          </m:sup>
        </m:sSubSup>
      </m:oMath>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sz w:val="21"/>
          <w:szCs w:val="21"/>
          <w:highlight w:val="none"/>
        </w:rPr>
        <w:t>废弃物加工过程</w:t>
      </w: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j</w:t>
      </w:r>
      <w:r>
        <w:rPr>
          <w:rFonts w:hint="default" w:ascii="Times New Roman" w:hAnsi="Times New Roman" w:cs="Times New Roman"/>
          <w:sz w:val="21"/>
          <w:szCs w:val="21"/>
        </w:rPr>
        <w:t>种能源的消耗量</w:t>
      </w:r>
      <w:r>
        <w:rPr>
          <w:rFonts w:hint="default" w:ascii="Times New Roman" w:hAnsi="Times New Roman" w:cs="Times New Roman"/>
          <w:color w:val="000000" w:themeColor="text1"/>
          <w:sz w:val="21"/>
          <w:szCs w:val="21"/>
          <w14:textFill>
            <w14:solidFill>
              <w14:schemeClr w14:val="tx1"/>
            </w14:solidFill>
          </w14:textFill>
        </w:rPr>
        <w:t>，单位为吨或千瓦时（t或kWh）；</w:t>
      </w:r>
    </w:p>
    <w:p>
      <w:pPr>
        <w:snapToGrid w:val="0"/>
        <w:spacing w:line="360" w:lineRule="auto"/>
        <w:ind w:firstLine="420" w:firstLineChars="200"/>
        <w:jc w:val="left"/>
        <w:rPr>
          <w:rFonts w:hint="default" w:ascii="Times New Roman" w:hAnsi="Times New Roman" w:cs="Times New Roman"/>
          <w:sz w:val="21"/>
          <w:szCs w:val="21"/>
        </w:rPr>
      </w:pPr>
      <m:oMath>
        <m:sSubSup>
          <m:sSubSupPr>
            <m:ctrlPr>
              <w:rPr>
                <w:rFonts w:hint="default" w:ascii="Cambria Math" w:hAnsi="Cambria Math" w:cs="Times New Roman"/>
                <w:i/>
                <w:color w:val="000000" w:themeColor="text1"/>
                <w:sz w:val="21"/>
                <w:szCs w:val="21"/>
                <w14:textFill>
                  <w14:solidFill>
                    <w14:schemeClr w14:val="tx1"/>
                  </w14:solidFill>
                </w14:textFill>
              </w:rPr>
            </m:ctrlPr>
          </m:sSubSupPr>
          <m:e>
            <m:r>
              <m:rPr/>
              <w:rPr>
                <w:rFonts w:hint="default" w:ascii="Cambria Math" w:hAnsi="Cambria Math" w:cs="Times New Roman"/>
                <w:color w:val="000000" w:themeColor="text1"/>
                <w:sz w:val="21"/>
                <w:szCs w:val="21"/>
                <w:lang w:val="en-US" w:eastAsia="zh-CN"/>
                <w14:textFill>
                  <w14:solidFill>
                    <w14:schemeClr w14:val="tx1"/>
                  </w14:solidFill>
                </w14:textFill>
              </w:rPr>
              <m:t>EF</m:t>
            </m:r>
            <m:ctrlPr>
              <w:rPr>
                <w:rFonts w:hint="default" w:ascii="Cambria Math" w:hAnsi="Cambria Math" w:cs="Times New Roman"/>
                <w:i/>
                <w:color w:val="000000" w:themeColor="text1"/>
                <w:sz w:val="21"/>
                <w:szCs w:val="21"/>
                <w14:textFill>
                  <w14:solidFill>
                    <w14:schemeClr w14:val="tx1"/>
                  </w14:solidFill>
                </w14:textFill>
              </w:rPr>
            </m:ctrlPr>
          </m:e>
          <m:sub>
            <m:r>
              <m:rPr/>
              <w:rPr>
                <w:rFonts w:hint="default" w:ascii="Cambria Math" w:hAnsi="Cambria Math" w:cs="Times New Roman"/>
                <w:color w:val="000000" w:themeColor="text1"/>
                <w:sz w:val="21"/>
                <w:szCs w:val="21"/>
                <w:lang w:val="en-US" w:eastAsia="zh-CN"/>
                <w14:textFill>
                  <w14:solidFill>
                    <w14:schemeClr w14:val="tx1"/>
                  </w14:solidFill>
                </w14:textFill>
              </w:rPr>
              <m:t>j</m:t>
            </m:r>
            <m:ctrlPr>
              <w:rPr>
                <w:rFonts w:hint="default" w:ascii="Cambria Math" w:hAnsi="Cambria Math" w:cs="Times New Roman"/>
                <w:i/>
                <w:color w:val="000000" w:themeColor="text1"/>
                <w:sz w:val="21"/>
                <w:szCs w:val="21"/>
                <w14:textFill>
                  <w14:solidFill>
                    <w14:schemeClr w14:val="tx1"/>
                  </w14:solidFill>
                </w14:textFill>
              </w:rPr>
            </m:ctrlPr>
          </m:sub>
          <m:sup>
            <m:r>
              <m:rPr/>
              <w:rPr>
                <w:rFonts w:hint="default" w:ascii="Cambria Math" w:hAnsi="Cambria Math" w:cs="Times New Roman"/>
                <w:color w:val="000000" w:themeColor="text1"/>
                <w:sz w:val="21"/>
                <w:szCs w:val="21"/>
                <w:lang w:val="en-US" w:eastAsia="zh-CN"/>
                <w14:textFill>
                  <w14:solidFill>
                    <w14:schemeClr w14:val="tx1"/>
                  </w14:solidFill>
                </w14:textFill>
              </w:rPr>
              <m:t>'</m:t>
            </m:r>
            <m:ctrlPr>
              <w:rPr>
                <w:rFonts w:hint="default" w:ascii="Cambria Math" w:hAnsi="Cambria Math" w:cs="Times New Roman"/>
                <w:i/>
                <w:color w:val="000000" w:themeColor="text1"/>
                <w:sz w:val="21"/>
                <w:szCs w:val="21"/>
                <w14:textFill>
                  <w14:solidFill>
                    <w14:schemeClr w14:val="tx1"/>
                  </w14:solidFill>
                </w14:textFill>
              </w:rPr>
            </m:ctrlPr>
          </m:sup>
        </m:sSubSup>
      </m:oMath>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sz w:val="21"/>
          <w:szCs w:val="21"/>
          <w:highlight w:val="none"/>
        </w:rPr>
        <w:t>废弃物加工过程</w:t>
      </w: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j</w:t>
      </w:r>
      <w:r>
        <w:rPr>
          <w:rFonts w:hint="default" w:ascii="Times New Roman" w:hAnsi="Times New Roman" w:cs="Times New Roman"/>
          <w:sz w:val="21"/>
          <w:szCs w:val="21"/>
        </w:rPr>
        <w:t>种能源的碳排放因子，单位为（kgCO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w:t>
      </w:r>
      <w:r>
        <w:rPr>
          <w:rFonts w:hint="default" w:ascii="Times New Roman" w:hAnsi="Times New Roman" w:cs="Times New Roman"/>
          <w:sz w:val="21"/>
          <w:szCs w:val="21"/>
          <w:lang w:val="en-US" w:eastAsia="zh-CN"/>
        </w:rPr>
        <w:t>kg</w:t>
      </w:r>
      <w:r>
        <w:rPr>
          <w:rFonts w:hint="default" w:ascii="Times New Roman" w:hAnsi="Times New Roman" w:cs="Times New Roman"/>
          <w:sz w:val="21"/>
          <w:szCs w:val="21"/>
        </w:rPr>
        <w:t>或kgCO</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e/kWh）；</w:t>
      </w:r>
    </w:p>
    <w:bookmarkEnd w:id="201"/>
    <w:p>
      <w:pPr>
        <w:pStyle w:val="110"/>
        <w:spacing w:before="312" w:after="312"/>
        <w:rPr>
          <w:rFonts w:hint="default" w:hAnsi="Times New Roman" w:cs="Times New Roman"/>
        </w:rPr>
      </w:pPr>
      <w:bookmarkStart w:id="204" w:name="_Toc21949"/>
      <w:bookmarkStart w:id="205" w:name="_Toc25094"/>
      <w:bookmarkStart w:id="206" w:name="_Toc11930"/>
      <w:bookmarkStart w:id="207" w:name="_Toc22942"/>
      <w:r>
        <w:rPr>
          <w:rFonts w:hint="default" w:hAnsi="Times New Roman" w:cs="Times New Roman"/>
        </w:rPr>
        <w:t>产品碳足迹</w:t>
      </w:r>
      <w:bookmarkEnd w:id="204"/>
      <w:bookmarkEnd w:id="205"/>
      <w:bookmarkEnd w:id="206"/>
      <w:r>
        <w:rPr>
          <w:rFonts w:hint="default" w:hAnsi="Times New Roman" w:cs="Times New Roman"/>
        </w:rPr>
        <w:t>结果解释</w:t>
      </w:r>
      <w:bookmarkEnd w:id="207"/>
    </w:p>
    <w:p>
      <w:pPr>
        <w:pStyle w:val="111"/>
        <w:spacing w:before="120" w:after="120" w:line="360" w:lineRule="auto"/>
        <w:rPr>
          <w:rFonts w:hint="default" w:ascii="Times New Roman" w:hAnsi="Times New Roman" w:cs="Times New Roman"/>
        </w:rPr>
      </w:pPr>
      <w:bookmarkStart w:id="208" w:name="_Toc30340"/>
      <w:bookmarkStart w:id="209" w:name="_Toc200449246"/>
      <w:bookmarkStart w:id="210" w:name="_Toc28191"/>
      <w:bookmarkStart w:id="211" w:name="_Hlk200373104"/>
      <w:r>
        <w:rPr>
          <w:rFonts w:hint="default" w:ascii="Times New Roman" w:hAnsi="Times New Roman" w:eastAsia="宋体" w:cs="Times New Roman"/>
        </w:rPr>
        <w:t>港口水工建筑物预制混凝土构件产品碳足迹结果解释应包括以下步骤：</w:t>
      </w:r>
      <w:bookmarkEnd w:id="208"/>
      <w:bookmarkEnd w:id="209"/>
      <w:bookmarkEnd w:id="210"/>
    </w:p>
    <w:bookmarkEnd w:id="211"/>
    <w:p>
      <w:pPr>
        <w:pStyle w:val="180"/>
        <w:keepNext w:val="0"/>
        <w:keepLines w:val="0"/>
        <w:pageBreakBefore w:val="0"/>
        <w:widowControl/>
        <w:numPr>
          <w:ilvl w:val="0"/>
          <w:numId w:val="34"/>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rPr>
      </w:pPr>
      <w:r>
        <w:rPr>
          <w:rFonts w:hint="default" w:ascii="Times New Roman" w:hAnsi="Times New Roman" w:cs="Times New Roman"/>
          <w:szCs w:val="21"/>
        </w:rPr>
        <w:t>根据港口水工建筑物预制混凝土构件产品碳足迹的量化结果，识别显著的生命周期阶段、单元过程或基本流；</w:t>
      </w:r>
    </w:p>
    <w:p>
      <w:pPr>
        <w:pStyle w:val="180"/>
        <w:keepNext w:val="0"/>
        <w:keepLines w:val="0"/>
        <w:pageBreakBefore w:val="0"/>
        <w:widowControl/>
        <w:numPr>
          <w:ilvl w:val="0"/>
          <w:numId w:val="34"/>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rPr>
      </w:pPr>
      <w:r>
        <w:rPr>
          <w:rFonts w:hint="eastAsia" w:ascii="Times New Roman" w:cs="Times New Roman"/>
          <w:lang w:val="en-US" w:eastAsia="zh-CN"/>
        </w:rPr>
        <w:t>完整性、</w:t>
      </w:r>
      <w:r>
        <w:rPr>
          <w:rFonts w:hint="default" w:ascii="Times New Roman" w:hAnsi="Times New Roman" w:cs="Times New Roman"/>
          <w:szCs w:val="21"/>
        </w:rPr>
        <w:t>一致性和敏感性分析的评估；</w:t>
      </w:r>
    </w:p>
    <w:p>
      <w:pPr>
        <w:pStyle w:val="180"/>
        <w:keepNext w:val="0"/>
        <w:keepLines w:val="0"/>
        <w:pageBreakBefore w:val="0"/>
        <w:widowControl/>
        <w:numPr>
          <w:ilvl w:val="0"/>
          <w:numId w:val="34"/>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rPr>
      </w:pPr>
      <w:r>
        <w:rPr>
          <w:rFonts w:hint="eastAsia" w:ascii="Times New Roman" w:cs="Times New Roman"/>
          <w:szCs w:val="21"/>
          <w:lang w:val="en-US" w:eastAsia="zh-CN"/>
        </w:rPr>
        <w:t>结论、</w:t>
      </w:r>
      <w:r>
        <w:rPr>
          <w:rFonts w:hint="default" w:ascii="Times New Roman" w:hAnsi="Times New Roman" w:cs="Times New Roman"/>
          <w:szCs w:val="21"/>
        </w:rPr>
        <w:t>局限性和建议的编制。</w:t>
      </w:r>
    </w:p>
    <w:p>
      <w:pPr>
        <w:pStyle w:val="111"/>
        <w:spacing w:before="120" w:after="120" w:line="360" w:lineRule="auto"/>
        <w:rPr>
          <w:rFonts w:hint="default" w:ascii="Times New Roman" w:hAnsi="Times New Roman" w:eastAsia="宋体" w:cs="Times New Roman"/>
        </w:rPr>
      </w:pPr>
      <w:bookmarkStart w:id="212" w:name="_Toc3822"/>
      <w:bookmarkStart w:id="213" w:name="_Toc31935"/>
      <w:bookmarkStart w:id="214" w:name="_Toc200449247"/>
      <w:r>
        <w:rPr>
          <w:rFonts w:hint="default" w:ascii="Times New Roman" w:hAnsi="Times New Roman" w:eastAsia="宋体" w:cs="Times New Roman"/>
        </w:rPr>
        <w:t>按照产品碳足迹研究的目的和范围，对产品碳足迹影响评价的量化结果进行解释，解释应包括以下内容：</w:t>
      </w:r>
      <w:bookmarkEnd w:id="212"/>
      <w:bookmarkEnd w:id="213"/>
    </w:p>
    <w:bookmarkEnd w:id="214"/>
    <w:p>
      <w:pPr>
        <w:pStyle w:val="180"/>
        <w:keepNext w:val="0"/>
        <w:keepLines w:val="0"/>
        <w:pageBreakBefore w:val="0"/>
        <w:widowControl/>
        <w:numPr>
          <w:ilvl w:val="0"/>
          <w:numId w:val="35"/>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szCs w:val="21"/>
        </w:rPr>
      </w:pPr>
      <w:r>
        <w:rPr>
          <w:rFonts w:hint="default" w:ascii="Times New Roman" w:hAnsi="Times New Roman" w:cs="Times New Roman"/>
          <w:szCs w:val="21"/>
        </w:rPr>
        <w:t>说明产品碳足迹和各生命周期阶段碳足迹；</w:t>
      </w:r>
    </w:p>
    <w:p>
      <w:pPr>
        <w:pStyle w:val="180"/>
        <w:keepNext w:val="0"/>
        <w:keepLines w:val="0"/>
        <w:pageBreakBefore w:val="0"/>
        <w:widowControl/>
        <w:numPr>
          <w:ilvl w:val="0"/>
          <w:numId w:val="35"/>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szCs w:val="21"/>
        </w:rPr>
      </w:pPr>
      <w:r>
        <w:rPr>
          <w:rFonts w:hint="default" w:ascii="Times New Roman" w:hAnsi="Times New Roman" w:cs="Times New Roman"/>
          <w:szCs w:val="21"/>
        </w:rPr>
        <w:t>不确定性分析，包括取舍准则的应用或范围；</w:t>
      </w:r>
    </w:p>
    <w:p>
      <w:pPr>
        <w:pStyle w:val="180"/>
        <w:keepNext w:val="0"/>
        <w:keepLines w:val="0"/>
        <w:pageBreakBefore w:val="0"/>
        <w:widowControl/>
        <w:numPr>
          <w:ilvl w:val="0"/>
          <w:numId w:val="35"/>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szCs w:val="21"/>
        </w:rPr>
      </w:pPr>
      <w:r>
        <w:rPr>
          <w:rFonts w:hint="default" w:ascii="Times New Roman" w:hAnsi="Times New Roman" w:cs="Times New Roman"/>
          <w:szCs w:val="21"/>
        </w:rPr>
        <w:t>详细记录选定的分配方法；</w:t>
      </w:r>
    </w:p>
    <w:p>
      <w:pPr>
        <w:pStyle w:val="180"/>
        <w:keepNext w:val="0"/>
        <w:keepLines w:val="0"/>
        <w:pageBreakBefore w:val="0"/>
        <w:widowControl/>
        <w:numPr>
          <w:ilvl w:val="0"/>
          <w:numId w:val="35"/>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szCs w:val="21"/>
        </w:rPr>
      </w:pPr>
      <w:r>
        <w:rPr>
          <w:rFonts w:hint="default" w:ascii="Times New Roman" w:hAnsi="Times New Roman" w:cs="Times New Roman"/>
          <w:szCs w:val="21"/>
        </w:rPr>
        <w:t>说明产品碳足迹量化的局限性。</w:t>
      </w:r>
    </w:p>
    <w:p>
      <w:pPr>
        <w:pStyle w:val="111"/>
        <w:spacing w:before="120" w:after="120" w:line="360" w:lineRule="auto"/>
        <w:rPr>
          <w:rFonts w:hint="default" w:ascii="Times New Roman" w:hAnsi="Times New Roman" w:eastAsia="宋体" w:cs="Times New Roman"/>
        </w:rPr>
      </w:pPr>
      <w:bookmarkStart w:id="215" w:name="_Toc3812"/>
      <w:bookmarkStart w:id="216" w:name="_Toc200449248"/>
      <w:bookmarkStart w:id="217" w:name="_Toc11341"/>
      <w:r>
        <w:rPr>
          <w:rFonts w:hint="default" w:ascii="Times New Roman" w:hAnsi="Times New Roman" w:eastAsia="宋体" w:cs="Times New Roman"/>
        </w:rPr>
        <w:t>结果解释宜包括以下内容：</w:t>
      </w:r>
      <w:bookmarkEnd w:id="215"/>
      <w:bookmarkEnd w:id="216"/>
      <w:bookmarkEnd w:id="217"/>
    </w:p>
    <w:p>
      <w:pPr>
        <w:pStyle w:val="180"/>
        <w:keepNext w:val="0"/>
        <w:keepLines w:val="0"/>
        <w:pageBreakBefore w:val="0"/>
        <w:widowControl/>
        <w:numPr>
          <w:ilvl w:val="0"/>
          <w:numId w:val="36"/>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szCs w:val="21"/>
        </w:rPr>
      </w:pPr>
      <w:r>
        <w:rPr>
          <w:rFonts w:hint="default" w:ascii="Times New Roman" w:hAnsi="Times New Roman" w:cs="Times New Roman"/>
          <w:szCs w:val="21"/>
        </w:rPr>
        <w:t>分析重要输入、输出和方法学选择（包括分配程序）的敏感性，以了解结果的敏感性和不确定性；</w:t>
      </w:r>
    </w:p>
    <w:p>
      <w:pPr>
        <w:pStyle w:val="180"/>
        <w:keepNext w:val="0"/>
        <w:keepLines w:val="0"/>
        <w:pageBreakBefore w:val="0"/>
        <w:widowControl/>
        <w:numPr>
          <w:ilvl w:val="0"/>
          <w:numId w:val="36"/>
        </w:numPr>
        <w:kinsoku/>
        <w:wordWrap/>
        <w:overflowPunct/>
        <w:topLinePunct w:val="0"/>
        <w:autoSpaceDE/>
        <w:autoSpaceDN/>
        <w:bidi w:val="0"/>
        <w:adjustRightInd/>
        <w:snapToGrid/>
        <w:spacing w:line="240" w:lineRule="auto"/>
        <w:ind w:left="845" w:hanging="425"/>
        <w:textAlignment w:val="auto"/>
        <w:rPr>
          <w:rFonts w:hint="default" w:ascii="Times New Roman" w:hAnsi="Times New Roman" w:cs="Times New Roman"/>
          <w:szCs w:val="21"/>
        </w:rPr>
      </w:pPr>
      <w:r>
        <w:rPr>
          <w:rFonts w:hint="default" w:ascii="Times New Roman" w:hAnsi="Times New Roman" w:cs="Times New Roman"/>
          <w:szCs w:val="21"/>
        </w:rPr>
        <w:t>评估建议对结果的影响。</w:t>
      </w:r>
    </w:p>
    <w:p>
      <w:pPr>
        <w:pStyle w:val="110"/>
        <w:spacing w:before="312" w:after="312"/>
        <w:rPr>
          <w:rFonts w:hint="default" w:hAnsi="Times New Roman" w:cs="Times New Roman"/>
        </w:rPr>
      </w:pPr>
      <w:bookmarkStart w:id="218" w:name="_Toc17550"/>
      <w:r>
        <w:rPr>
          <w:rFonts w:hint="default" w:hAnsi="Times New Roman" w:cs="Times New Roman"/>
        </w:rPr>
        <w:t>产品碳足迹核算报告</w:t>
      </w:r>
      <w:bookmarkEnd w:id="218"/>
    </w:p>
    <w:p>
      <w:pPr>
        <w:pStyle w:val="246"/>
        <w:tabs>
          <w:tab w:val="left" w:pos="840"/>
          <w:tab w:val="clear" w:pos="1260"/>
        </w:tabs>
        <w:spacing w:line="360" w:lineRule="auto"/>
        <w:ind w:left="0" w:firstLine="420" w:firstLineChars="200"/>
        <w:rPr>
          <w:rFonts w:hint="default" w:ascii="Times New Roman" w:hAnsi="Times New Roman" w:cs="Times New Roman"/>
          <w:szCs w:val="21"/>
        </w:rPr>
      </w:pPr>
      <w:r>
        <w:rPr>
          <w:rFonts w:hint="default" w:ascii="Times New Roman" w:hAnsi="Times New Roman" w:cs="Times New Roman"/>
          <w:szCs w:val="21"/>
        </w:rPr>
        <w:t>产品碳足迹报告模板应至少包含如下内容：</w:t>
      </w:r>
    </w:p>
    <w:p>
      <w:pPr>
        <w:pStyle w:val="246"/>
        <w:tabs>
          <w:tab w:val="left" w:pos="840"/>
          <w:tab w:val="clear" w:pos="1260"/>
        </w:tabs>
        <w:spacing w:line="360" w:lineRule="auto"/>
        <w:ind w:left="0" w:firstLine="420" w:firstLineChars="200"/>
        <w:rPr>
          <w:rFonts w:hint="default" w:ascii="Times New Roman" w:hAnsi="Times New Roman" w:cs="Times New Roman"/>
          <w:szCs w:val="21"/>
          <w:lang w:bidi="ar"/>
        </w:rPr>
      </w:pPr>
      <w:r>
        <w:rPr>
          <w:rFonts w:hint="default" w:ascii="Times New Roman" w:hAnsi="Times New Roman" w:cs="Times New Roman"/>
          <w:szCs w:val="21"/>
          <w:lang w:bidi="ar"/>
        </w:rPr>
        <w:t>a)基本情况；</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1)委托方和</w:t>
      </w:r>
      <w:r>
        <w:rPr>
          <w:rFonts w:hint="default" w:ascii="Times New Roman" w:hAnsi="Times New Roman" w:cs="Times New Roman"/>
          <w:szCs w:val="21"/>
          <w:lang w:val="en-US" w:eastAsia="zh-CN" w:bidi="ar"/>
        </w:rPr>
        <w:t>评价</w:t>
      </w:r>
      <w:r>
        <w:rPr>
          <w:rFonts w:hint="default" w:ascii="Times New Roman" w:hAnsi="Times New Roman" w:cs="Times New Roman"/>
          <w:szCs w:val="21"/>
          <w:lang w:bidi="ar"/>
        </w:rPr>
        <w:t>方信息；</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2)报告方信息；</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3)依据的标准；</w:t>
      </w:r>
    </w:p>
    <w:p>
      <w:pPr>
        <w:pStyle w:val="246"/>
        <w:tabs>
          <w:tab w:val="left" w:pos="840"/>
          <w:tab w:val="clear" w:pos="1260"/>
        </w:tabs>
        <w:spacing w:line="360" w:lineRule="auto"/>
        <w:ind w:left="0" w:firstLine="420" w:firstLineChars="200"/>
        <w:rPr>
          <w:rFonts w:hint="default" w:ascii="Times New Roman" w:hAnsi="Times New Roman" w:cs="Times New Roman"/>
          <w:szCs w:val="21"/>
          <w:lang w:bidi="ar"/>
        </w:rPr>
      </w:pPr>
      <w:r>
        <w:rPr>
          <w:rFonts w:hint="default" w:ascii="Times New Roman" w:hAnsi="Times New Roman" w:cs="Times New Roman"/>
          <w:szCs w:val="21"/>
          <w:lang w:bidi="ar"/>
        </w:rPr>
        <w:t>b)目的；</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1)量化目的；</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2)预期用途；</w:t>
      </w:r>
    </w:p>
    <w:p>
      <w:pPr>
        <w:pStyle w:val="246"/>
        <w:tabs>
          <w:tab w:val="left" w:pos="840"/>
          <w:tab w:val="clear" w:pos="1260"/>
        </w:tabs>
        <w:spacing w:line="360" w:lineRule="auto"/>
        <w:ind w:left="0" w:firstLine="420" w:firstLineChars="200"/>
        <w:rPr>
          <w:rFonts w:hint="default" w:ascii="Times New Roman" w:hAnsi="Times New Roman" w:cs="Times New Roman"/>
          <w:szCs w:val="21"/>
          <w:lang w:bidi="ar"/>
        </w:rPr>
      </w:pPr>
      <w:r>
        <w:rPr>
          <w:rFonts w:hint="default" w:ascii="Times New Roman" w:hAnsi="Times New Roman" w:cs="Times New Roman"/>
          <w:szCs w:val="21"/>
          <w:lang w:bidi="ar"/>
        </w:rPr>
        <w:t>c)范围；</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1)产品描述，包括功能和技术参数；</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2)功能单位或声明单位；</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3)系统边界；</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4)取舍准则；</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5)生命周期各阶段确定与描述；</w:t>
      </w:r>
    </w:p>
    <w:p>
      <w:pPr>
        <w:pStyle w:val="246"/>
        <w:tabs>
          <w:tab w:val="left" w:pos="840"/>
          <w:tab w:val="clear" w:pos="1260"/>
        </w:tabs>
        <w:spacing w:line="360" w:lineRule="auto"/>
        <w:ind w:left="0" w:firstLine="420" w:firstLineChars="200"/>
        <w:rPr>
          <w:rFonts w:hint="default" w:ascii="Times New Roman" w:hAnsi="Times New Roman" w:cs="Times New Roman"/>
          <w:szCs w:val="21"/>
          <w:lang w:bidi="ar"/>
        </w:rPr>
      </w:pPr>
      <w:r>
        <w:rPr>
          <w:rFonts w:hint="default" w:ascii="Times New Roman" w:hAnsi="Times New Roman" w:cs="Times New Roman"/>
          <w:szCs w:val="21"/>
          <w:lang w:bidi="ar"/>
        </w:rPr>
        <w:t>d)</w:t>
      </w:r>
      <w:r>
        <w:rPr>
          <w:rFonts w:hint="default" w:ascii="Times New Roman" w:hAnsi="Times New Roman" w:cs="Times New Roman"/>
          <w:szCs w:val="21"/>
          <w:lang w:val="en-US" w:eastAsia="zh-CN" w:bidi="ar"/>
        </w:rPr>
        <w:t>生命周期</w:t>
      </w:r>
      <w:r>
        <w:rPr>
          <w:rFonts w:hint="default" w:ascii="Times New Roman" w:hAnsi="Times New Roman" w:cs="Times New Roman"/>
          <w:szCs w:val="21"/>
          <w:lang w:bidi="ar"/>
        </w:rPr>
        <w:t>清单分析；</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1)数据收集信息；</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2)重要的单元过程清单；</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3)系统边界内所有过程的温室气体排放的清单；</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4)使用阶段的使用标准情景说明；</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5)分配原则与程序；</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6)数据说明。</w:t>
      </w:r>
    </w:p>
    <w:p>
      <w:pPr>
        <w:pStyle w:val="246"/>
        <w:tabs>
          <w:tab w:val="left" w:pos="840"/>
          <w:tab w:val="clear" w:pos="1260"/>
        </w:tabs>
        <w:spacing w:line="360" w:lineRule="auto"/>
        <w:ind w:left="0" w:firstLine="420" w:firstLineChars="200"/>
        <w:rPr>
          <w:rFonts w:hint="default" w:ascii="Times New Roman" w:hAnsi="Times New Roman" w:cs="Times New Roman"/>
          <w:szCs w:val="21"/>
          <w:lang w:bidi="ar"/>
        </w:rPr>
      </w:pPr>
      <w:r>
        <w:rPr>
          <w:rFonts w:hint="default" w:ascii="Times New Roman" w:hAnsi="Times New Roman" w:cs="Times New Roman"/>
          <w:szCs w:val="21"/>
          <w:lang w:bidi="ar"/>
        </w:rPr>
        <w:t>e)影响评价；</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1)影响评价方法；</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2)特征化因子；</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3)产品生命周期碳足迹计算结果；</w:t>
      </w:r>
    </w:p>
    <w:p>
      <w:pPr>
        <w:pStyle w:val="246"/>
        <w:tabs>
          <w:tab w:val="left" w:pos="840"/>
          <w:tab w:val="clear" w:pos="1260"/>
        </w:tabs>
        <w:spacing w:line="360" w:lineRule="auto"/>
        <w:ind w:left="0" w:firstLine="420" w:firstLineChars="200"/>
        <w:rPr>
          <w:rFonts w:hint="default" w:ascii="Times New Roman" w:hAnsi="Times New Roman" w:cs="Times New Roman"/>
          <w:szCs w:val="21"/>
          <w:lang w:bidi="ar"/>
        </w:rPr>
      </w:pPr>
      <w:r>
        <w:rPr>
          <w:rFonts w:hint="default" w:ascii="Times New Roman" w:hAnsi="Times New Roman" w:cs="Times New Roman"/>
          <w:szCs w:val="21"/>
          <w:lang w:bidi="ar"/>
        </w:rPr>
        <w:t>f)结果解释；</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1)结论与局限性；</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2)敏感性分析和不确定性分析结果；</w:t>
      </w:r>
    </w:p>
    <w:p>
      <w:pPr>
        <w:pStyle w:val="246"/>
        <w:tabs>
          <w:tab w:val="left" w:pos="840"/>
          <w:tab w:val="clear" w:pos="1260"/>
        </w:tabs>
        <w:spacing w:line="360" w:lineRule="auto"/>
        <w:ind w:left="0" w:firstLine="630" w:firstLineChars="300"/>
        <w:rPr>
          <w:rFonts w:hint="default" w:ascii="Times New Roman" w:hAnsi="Times New Roman" w:cs="Times New Roman"/>
          <w:szCs w:val="21"/>
          <w:lang w:bidi="ar"/>
        </w:rPr>
      </w:pPr>
      <w:r>
        <w:rPr>
          <w:rFonts w:hint="default" w:ascii="Times New Roman" w:hAnsi="Times New Roman" w:cs="Times New Roman"/>
          <w:szCs w:val="21"/>
          <w:lang w:bidi="ar"/>
        </w:rPr>
        <w:t>3)在产品碳足迹研究中披露和证明相关信息项的选择并说明理由。</w:t>
      </w:r>
    </w:p>
    <w:p>
      <w:pPr>
        <w:pStyle w:val="62"/>
        <w:ind w:firstLine="420"/>
        <w:rPr>
          <w:rFonts w:hint="default" w:ascii="Times New Roman" w:hAnsi="Times New Roman" w:cs="Times New Roman"/>
        </w:rPr>
      </w:pPr>
    </w:p>
    <w:p>
      <w:pPr>
        <w:pStyle w:val="229"/>
        <w:numPr>
          <w:ilvl w:val="2"/>
          <w:numId w:val="0"/>
        </w:numPr>
        <w:spacing w:before="120" w:beforeLines="50" w:after="120" w:afterLines="50"/>
        <w:ind w:left="-420" w:leftChars="-200" w:firstLine="840" w:firstLineChars="400"/>
        <w:rPr>
          <w:rFonts w:hint="default" w:ascii="Times New Roman" w:hAnsi="Times New Roman" w:cs="Times New Roman"/>
        </w:rPr>
      </w:pPr>
      <w:r>
        <w:rPr>
          <w:rFonts w:hint="default" w:ascii="Times New Roman" w:hAnsi="Times New Roman" w:cs="Times New Roman"/>
          <w:szCs w:val="21"/>
        </w:rPr>
        <w:br w:type="page"/>
      </w:r>
    </w:p>
    <w:p>
      <w:pPr>
        <w:pStyle w:val="204"/>
        <w:rPr>
          <w:rFonts w:hint="default" w:ascii="Times New Roman" w:hAnsi="Times New Roman" w:cs="Times New Roman"/>
        </w:rPr>
      </w:pPr>
      <w:bookmarkStart w:id="219" w:name="BookMark5"/>
    </w:p>
    <w:p>
      <w:pPr>
        <w:pStyle w:val="205"/>
        <w:rPr>
          <w:rFonts w:hint="default" w:ascii="Times New Roman" w:hAnsi="Times New Roman" w:cs="Times New Roman"/>
        </w:rPr>
      </w:pPr>
    </w:p>
    <w:p>
      <w:pPr>
        <w:keepNext/>
        <w:keepLines/>
        <w:adjustRightInd/>
        <w:spacing w:before="120" w:beforeLines="50" w:after="120" w:afterLines="50" w:line="360" w:lineRule="auto"/>
        <w:jc w:val="center"/>
        <w:outlineLvl w:val="0"/>
        <w:rPr>
          <w:rFonts w:hint="default" w:ascii="Times New Roman" w:hAnsi="Times New Roman" w:eastAsia="黑体" w:cs="Times New Roman"/>
          <w:b/>
          <w:bCs/>
          <w:kern w:val="44"/>
        </w:rPr>
      </w:pPr>
      <w:bookmarkStart w:id="220" w:name="_Toc13129"/>
      <w:bookmarkEnd w:id="220"/>
      <w:bookmarkStart w:id="221" w:name="_Toc29546"/>
      <w:bookmarkEnd w:id="221"/>
      <w:bookmarkStart w:id="222" w:name="_Toc32288"/>
      <w:bookmarkStart w:id="223" w:name="_Toc15088"/>
      <w:bookmarkStart w:id="224" w:name="_Toc32631"/>
      <w:bookmarkStart w:id="225" w:name="_Toc10381"/>
      <w:r>
        <w:rPr>
          <w:rFonts w:hint="default" w:ascii="Times New Roman" w:hAnsi="Times New Roman" w:eastAsia="黑体" w:cs="Times New Roman"/>
          <w:b/>
          <w:bCs/>
          <w:kern w:val="44"/>
        </w:rPr>
        <w:t xml:space="preserve">附录A </w:t>
      </w:r>
    </w:p>
    <w:p>
      <w:pPr>
        <w:pStyle w:val="110"/>
        <w:numPr>
          <w:ilvl w:val="1"/>
          <w:numId w:val="0"/>
        </w:numPr>
        <w:spacing w:before="0" w:beforeLines="0" w:after="0" w:afterLines="0"/>
        <w:jc w:val="center"/>
        <w:rPr>
          <w:rFonts w:hint="eastAsia" w:ascii="黑体" w:hAnsi="黑体" w:eastAsia="黑体" w:cs="黑体"/>
          <w:b w:val="0"/>
          <w:bCs w:val="0"/>
          <w:szCs w:val="21"/>
        </w:rPr>
      </w:pPr>
      <w:bookmarkStart w:id="226" w:name="_Toc18760"/>
      <w:bookmarkStart w:id="227" w:name="_Toc25164"/>
      <w:bookmarkStart w:id="228" w:name="_Toc23646"/>
      <w:bookmarkStart w:id="229" w:name="_Toc25865"/>
      <w:bookmarkStart w:id="230" w:name="_Toc15433"/>
      <w:bookmarkStart w:id="231" w:name="_Toc12186"/>
      <w:bookmarkStart w:id="232" w:name="_Toc3216"/>
      <w:bookmarkStart w:id="233" w:name="_Toc6017"/>
      <w:bookmarkStart w:id="234" w:name="_Toc18056"/>
      <w:bookmarkStart w:id="235" w:name="_Toc208995555"/>
      <w:bookmarkStart w:id="236" w:name="_Toc27691"/>
      <w:bookmarkStart w:id="237" w:name="_Toc438"/>
      <w:bookmarkStart w:id="238" w:name="_Toc29715"/>
      <w:bookmarkStart w:id="239" w:name="_Toc208995446"/>
      <w:bookmarkStart w:id="240" w:name="_Toc17730"/>
      <w:bookmarkStart w:id="241" w:name="_Toc23628"/>
      <w:r>
        <w:rPr>
          <w:rFonts w:hint="eastAsia" w:ascii="黑体" w:hAnsi="黑体" w:eastAsia="黑体" w:cs="黑体"/>
          <w:b w:val="0"/>
          <w:bCs w:val="0"/>
          <w:szCs w:val="21"/>
        </w:rPr>
        <w:t>（</w:t>
      </w:r>
      <w:r>
        <w:rPr>
          <w:rFonts w:hint="eastAsia" w:hAnsi="黑体" w:cs="黑体"/>
          <w:b w:val="0"/>
          <w:bCs w:val="0"/>
          <w:szCs w:val="21"/>
          <w:lang w:val="en-US" w:eastAsia="zh-CN"/>
        </w:rPr>
        <w:t>资料</w:t>
      </w:r>
      <w:r>
        <w:rPr>
          <w:rFonts w:hint="eastAsia" w:ascii="黑体" w:hAnsi="黑体" w:eastAsia="黑体" w:cs="黑体"/>
          <w:b w:val="0"/>
          <w:bCs w:val="0"/>
          <w:szCs w:val="21"/>
        </w:rPr>
        <w:t>性）</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pPr>
        <w:pStyle w:val="110"/>
        <w:numPr>
          <w:ilvl w:val="1"/>
          <w:numId w:val="0"/>
        </w:numPr>
        <w:spacing w:before="0" w:beforeLines="0" w:after="0" w:afterLines="0"/>
        <w:jc w:val="center"/>
        <w:rPr>
          <w:rFonts w:hint="eastAsia" w:ascii="黑体" w:hAnsi="黑体" w:eastAsia="黑体" w:cs="黑体"/>
          <w:b w:val="0"/>
          <w:bCs w:val="0"/>
          <w:kern w:val="44"/>
          <w:lang w:val="en-US" w:eastAsia="zh-CN"/>
        </w:rPr>
      </w:pPr>
      <w:r>
        <w:rPr>
          <w:rFonts w:hint="eastAsia" w:ascii="黑体" w:hAnsi="黑体" w:eastAsia="黑体" w:cs="黑体"/>
          <w:b w:val="0"/>
          <w:bCs w:val="0"/>
          <w:kern w:val="44"/>
          <w:lang w:val="en-US" w:eastAsia="zh-CN"/>
        </w:rPr>
        <w:t>港口水工建筑物预制混凝土构件碳排放数据收集清单</w:t>
      </w:r>
      <w:bookmarkEnd w:id="222"/>
    </w:p>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原材料获取阶段数据收集清单见表A.1。</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default" w:ascii="Times New Roman" w:hAnsi="Times New Roman" w:eastAsia="方正黑体_GBK" w:cs="Times New Roman"/>
          <w:color w:val="231F20"/>
          <w:kern w:val="0"/>
          <w:sz w:val="21"/>
          <w:szCs w:val="21"/>
          <w:lang w:val="en-US" w:eastAsia="zh-CN" w:bidi="ar"/>
        </w:rPr>
      </w:pPr>
      <w:r>
        <w:rPr>
          <w:rFonts w:hint="default" w:ascii="Times New Roman" w:hAnsi="Times New Roman" w:eastAsia="方正黑体_GBK" w:cs="Times New Roman"/>
          <w:color w:val="231F20"/>
          <w:kern w:val="0"/>
          <w:sz w:val="21"/>
          <w:szCs w:val="21"/>
          <w:lang w:val="en-US" w:eastAsia="zh-CN" w:bidi="ar"/>
        </w:rPr>
        <w:t>表A.1 原材料获取阶段数据收集表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1018"/>
        <w:gridCol w:w="1009"/>
        <w:gridCol w:w="1620"/>
        <w:gridCol w:w="1341"/>
        <w:gridCol w:w="1341"/>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种类</w:t>
            </w:r>
          </w:p>
        </w:tc>
        <w:tc>
          <w:tcPr>
            <w:tcW w:w="537"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单位</w:t>
            </w:r>
          </w:p>
        </w:tc>
        <w:tc>
          <w:tcPr>
            <w:tcW w:w="532"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数量</w:t>
            </w:r>
            <w:r>
              <w:rPr>
                <w:rStyle w:val="34"/>
                <w:rFonts w:hint="default" w:ascii="Times New Roman" w:hAnsi="Times New Roman" w:eastAsia="宋体" w:cs="Times New Roman"/>
                <w:b w:val="0"/>
                <w:bCs w:val="0"/>
                <w:i w:val="0"/>
                <w:iCs w:val="0"/>
                <w:caps w:val="0"/>
                <w:color w:val="000000"/>
                <w:spacing w:val="1"/>
                <w:kern w:val="0"/>
                <w:sz w:val="18"/>
                <w:szCs w:val="18"/>
                <w:vertAlign w:val="superscript"/>
                <w:lang w:val="en-US" w:eastAsia="zh-CN" w:bidi="ar"/>
              </w:rPr>
              <w:t>a</w:t>
            </w:r>
          </w:p>
        </w:tc>
        <w:tc>
          <w:tcPr>
            <w:tcW w:w="854"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碳足迹</w:t>
            </w:r>
          </w:p>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kg CO</w:t>
            </w:r>
            <w:r>
              <w:rPr>
                <w:rStyle w:val="34"/>
                <w:rFonts w:hint="default" w:ascii="Times New Roman" w:hAnsi="Times New Roman" w:eastAsia="宋体" w:cs="Times New Roman"/>
                <w:b w:val="0"/>
                <w:bCs w:val="0"/>
                <w:i w:val="0"/>
                <w:iCs w:val="0"/>
                <w:caps w:val="0"/>
                <w:color w:val="000000"/>
                <w:spacing w:val="1"/>
                <w:kern w:val="0"/>
                <w:sz w:val="18"/>
                <w:szCs w:val="18"/>
                <w:vertAlign w:val="subscript"/>
                <w:lang w:val="en-US" w:eastAsia="zh-CN" w:bidi="ar"/>
              </w:rPr>
              <w:t>2</w:t>
            </w: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e/单位</w:t>
            </w:r>
          </w:p>
        </w:tc>
        <w:tc>
          <w:tcPr>
            <w:tcW w:w="707"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规格型号/成分等</w:t>
            </w:r>
          </w:p>
        </w:tc>
        <w:tc>
          <w:tcPr>
            <w:tcW w:w="156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7"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2"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4"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07"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运输方式</w:t>
            </w:r>
            <w:r>
              <w:rPr>
                <w:rStyle w:val="34"/>
                <w:rFonts w:hint="default" w:ascii="Times New Roman" w:hAnsi="Times New Roman" w:eastAsia="宋体" w:cs="Times New Roman"/>
                <w:b w:val="0"/>
                <w:bCs w:val="0"/>
                <w:i w:val="0"/>
                <w:iCs w:val="0"/>
                <w:caps w:val="0"/>
                <w:color w:val="000000"/>
                <w:spacing w:val="1"/>
                <w:kern w:val="0"/>
                <w:sz w:val="18"/>
                <w:szCs w:val="18"/>
                <w:vertAlign w:val="superscript"/>
                <w:lang w:val="en-US" w:eastAsia="zh-CN" w:bidi="ar"/>
              </w:rPr>
              <w:t>b</w:t>
            </w: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运输距离/km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水泥</w:t>
            </w:r>
          </w:p>
        </w:tc>
        <w:tc>
          <w:tcPr>
            <w:tcW w:w="53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2"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粗骨料</w:t>
            </w:r>
          </w:p>
        </w:tc>
        <w:tc>
          <w:tcPr>
            <w:tcW w:w="53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2"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细骨料</w:t>
            </w:r>
          </w:p>
        </w:tc>
        <w:tc>
          <w:tcPr>
            <w:tcW w:w="53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2"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掺合料</w:t>
            </w:r>
          </w:p>
        </w:tc>
        <w:tc>
          <w:tcPr>
            <w:tcW w:w="53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2"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外加剂</w:t>
            </w:r>
          </w:p>
        </w:tc>
        <w:tc>
          <w:tcPr>
            <w:tcW w:w="53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85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3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2"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w:t>
            </w:r>
          </w:p>
        </w:tc>
        <w:tc>
          <w:tcPr>
            <w:tcW w:w="53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32"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0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5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420" w:leftChars="200"/>
              <w:jc w:val="left"/>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28"/>
                <w:szCs w:val="28"/>
                <w:vertAlign w:val="superscript"/>
                <w:lang w:val="en-US" w:eastAsia="zh-CN" w:bidi="ar"/>
              </w:rPr>
              <w:t xml:space="preserve">a </w:t>
            </w:r>
            <w:r>
              <w:rPr>
                <w:rFonts w:hint="default" w:ascii="Times New Roman" w:hAnsi="Times New Roman" w:eastAsia="宋体" w:cs="Times New Roman"/>
                <w:b w:val="0"/>
                <w:bCs w:val="0"/>
                <w:i w:val="0"/>
                <w:iCs w:val="0"/>
                <w:caps w:val="0"/>
                <w:color w:val="000000"/>
                <w:spacing w:val="1"/>
                <w:kern w:val="0"/>
                <w:sz w:val="18"/>
                <w:szCs w:val="18"/>
                <w:lang w:val="en-US" w:eastAsia="zh-CN" w:bidi="ar"/>
              </w:rPr>
              <w:t>每功能单位产品使用该材料的总量。</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420" w:leftChars="200"/>
              <w:jc w:val="left"/>
              <w:textAlignment w:val="auto"/>
              <w:rPr>
                <w:rFonts w:hint="default" w:ascii="Times New Roman" w:hAnsi="Times New Roman" w:eastAsia="宋体" w:cs="Times New Roman"/>
                <w:b w:val="0"/>
                <w:bCs w:val="0"/>
                <w:i w:val="0"/>
                <w:iCs w:val="0"/>
                <w:caps w:val="0"/>
                <w:color w:val="000000"/>
                <w:spacing w:val="1"/>
                <w:kern w:val="0"/>
                <w:sz w:val="28"/>
                <w:szCs w:val="28"/>
                <w:vertAlign w:val="superscript"/>
                <w:lang w:val="en-US" w:eastAsia="zh-CN" w:bidi="ar"/>
              </w:rPr>
            </w:pPr>
            <w:r>
              <w:rPr>
                <w:rFonts w:hint="default" w:ascii="Times New Roman" w:hAnsi="Times New Roman" w:eastAsia="宋体" w:cs="Times New Roman"/>
                <w:b w:val="0"/>
                <w:bCs w:val="0"/>
                <w:i w:val="0"/>
                <w:iCs w:val="0"/>
                <w:caps w:val="0"/>
                <w:color w:val="000000"/>
                <w:spacing w:val="1"/>
                <w:kern w:val="0"/>
                <w:sz w:val="28"/>
                <w:szCs w:val="28"/>
                <w:vertAlign w:val="superscript"/>
                <w:lang w:val="en-US" w:eastAsia="zh-CN" w:bidi="ar"/>
              </w:rPr>
              <w:t xml:space="preserve">b </w:t>
            </w:r>
            <w:r>
              <w:rPr>
                <w:rFonts w:hint="default" w:ascii="Times New Roman" w:hAnsi="Times New Roman" w:eastAsia="宋体" w:cs="Times New Roman"/>
                <w:b w:val="0"/>
                <w:bCs w:val="0"/>
                <w:i w:val="0"/>
                <w:iCs w:val="0"/>
                <w:caps w:val="0"/>
                <w:color w:val="000000"/>
                <w:spacing w:val="1"/>
                <w:kern w:val="0"/>
                <w:sz w:val="18"/>
                <w:szCs w:val="18"/>
                <w:lang w:val="en-US" w:eastAsia="zh-CN" w:bidi="ar"/>
              </w:rPr>
              <w:t>公路运输、铁路运输、水路运输、航空运输等。</w:t>
            </w:r>
          </w:p>
        </w:tc>
      </w:tr>
    </w:tbl>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原材料获取阶段数据收集清单见表A.</w:t>
      </w:r>
      <w:r>
        <w:rPr>
          <w:rFonts w:hint="eastAsia" w:ascii="Times New Roman" w:hAnsi="Times New Roman" w:cs="Times New Roman"/>
          <w:lang w:val="en-US" w:eastAsia="zh-CN"/>
        </w:rPr>
        <w:t>2</w:t>
      </w:r>
      <w:r>
        <w:rPr>
          <w:rFonts w:hint="default" w:ascii="Times New Roman" w:hAnsi="Times New Roman" w:cs="Times New Roman"/>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default" w:ascii="Times New Roman" w:hAnsi="Times New Roman" w:eastAsia="方正黑体_GBK" w:cs="Times New Roman"/>
          <w:color w:val="231F20"/>
          <w:kern w:val="0"/>
          <w:sz w:val="21"/>
          <w:szCs w:val="21"/>
          <w:lang w:val="en-US" w:eastAsia="zh-CN" w:bidi="ar"/>
        </w:rPr>
      </w:pPr>
      <w:r>
        <w:rPr>
          <w:rFonts w:hint="default" w:ascii="Times New Roman" w:hAnsi="Times New Roman" w:eastAsia="方正黑体_GBK" w:cs="Times New Roman"/>
          <w:color w:val="231F20"/>
          <w:kern w:val="0"/>
          <w:sz w:val="21"/>
          <w:szCs w:val="21"/>
          <w:lang w:val="en-US" w:eastAsia="zh-CN" w:bidi="ar"/>
        </w:rPr>
        <w:t>表A.2 生产制造阶段数据收集表</w:t>
      </w:r>
    </w:p>
    <w:tbl>
      <w:tblPr>
        <w:tblStyle w:val="3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1791"/>
        <w:gridCol w:w="1118"/>
        <w:gridCol w:w="923"/>
        <w:gridCol w:w="1183"/>
        <w:gridCol w:w="1174"/>
        <w:gridCol w:w="1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eastAsia" w:ascii="Times New Roman" w:hAnsi="Times New Roman" w:cs="Times New Roman"/>
                <w:b w:val="0"/>
                <w:bCs w:val="0"/>
                <w:i w:val="0"/>
                <w:iCs w:val="0"/>
                <w:caps w:val="0"/>
                <w:color w:val="000000"/>
                <w:spacing w:val="1"/>
                <w:kern w:val="0"/>
                <w:sz w:val="18"/>
                <w:szCs w:val="18"/>
                <w:lang w:val="en-US" w:eastAsia="zh-CN" w:bidi="ar"/>
              </w:rPr>
              <w:t>能源资源消耗种类</w:t>
            </w:r>
          </w:p>
        </w:tc>
        <w:tc>
          <w:tcPr>
            <w:tcW w:w="94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eastAsia" w:ascii="Times New Roman" w:hAnsi="Times New Roman" w:cs="Times New Roman"/>
                <w:b w:val="0"/>
                <w:bCs w:val="0"/>
                <w:i w:val="0"/>
                <w:iCs w:val="0"/>
                <w:caps w:val="0"/>
                <w:color w:val="000000"/>
                <w:spacing w:val="1"/>
                <w:kern w:val="0"/>
                <w:sz w:val="18"/>
                <w:szCs w:val="18"/>
                <w:lang w:val="en-US" w:eastAsia="zh-CN" w:bidi="ar"/>
              </w:rPr>
              <w:t>消耗量</w:t>
            </w:r>
          </w:p>
        </w:tc>
        <w:tc>
          <w:tcPr>
            <w:tcW w:w="590"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单位</w:t>
            </w:r>
          </w:p>
        </w:tc>
        <w:tc>
          <w:tcPr>
            <w:tcW w:w="487"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eastAsia" w:ascii="Times New Roman" w:hAnsi="Times New Roman" w:eastAsia="宋体" w:cs="Times New Roman"/>
                <w:b w:val="0"/>
                <w:bCs w:val="0"/>
                <w:i w:val="0"/>
                <w:iCs w:val="0"/>
                <w:caps w:val="0"/>
                <w:color w:val="000000"/>
                <w:spacing w:val="1"/>
                <w:kern w:val="0"/>
                <w:sz w:val="18"/>
                <w:szCs w:val="18"/>
                <w:lang w:val="en-US" w:eastAsia="zh-CN" w:bidi="ar"/>
              </w:rPr>
              <w:t>产地</w:t>
            </w:r>
          </w:p>
        </w:tc>
        <w:tc>
          <w:tcPr>
            <w:tcW w:w="624"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eastAsia" w:ascii="Times New Roman" w:hAnsi="Times New Roman" w:cs="Times New Roman"/>
                <w:b w:val="0"/>
                <w:bCs w:val="0"/>
                <w:i w:val="0"/>
                <w:iCs w:val="0"/>
                <w:caps w:val="0"/>
                <w:color w:val="000000"/>
                <w:spacing w:val="1"/>
                <w:kern w:val="0"/>
                <w:sz w:val="18"/>
                <w:szCs w:val="18"/>
                <w:lang w:val="en-US" w:eastAsia="zh-CN" w:bidi="ar"/>
              </w:rPr>
              <w:t>取得方式（自产或外购）</w:t>
            </w:r>
          </w:p>
        </w:tc>
        <w:tc>
          <w:tcPr>
            <w:tcW w:w="1417"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94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9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487"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24"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1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运输方式</w:t>
            </w:r>
            <w:r>
              <w:rPr>
                <w:rStyle w:val="34"/>
                <w:rFonts w:hint="eastAsia" w:ascii="Times New Roman" w:hAnsi="Times New Roman" w:cs="Times New Roman"/>
                <w:b w:val="0"/>
                <w:bCs w:val="0"/>
                <w:i w:val="0"/>
                <w:iCs w:val="0"/>
                <w:caps w:val="0"/>
                <w:color w:val="000000"/>
                <w:spacing w:val="1"/>
                <w:kern w:val="0"/>
                <w:sz w:val="18"/>
                <w:szCs w:val="18"/>
                <w:vertAlign w:val="superscript"/>
                <w:lang w:val="en-US" w:eastAsia="zh-CN" w:bidi="ar"/>
              </w:rPr>
              <w:t>a</w:t>
            </w:r>
          </w:p>
        </w:tc>
        <w:tc>
          <w:tcPr>
            <w:tcW w:w="79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运输距离/km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eastAsia" w:ascii="Times New Roman" w:hAnsi="Times New Roman" w:cs="Times New Roman"/>
                <w:b w:val="0"/>
                <w:bCs w:val="0"/>
                <w:i w:val="0"/>
                <w:iCs w:val="0"/>
                <w:caps w:val="0"/>
                <w:color w:val="000000"/>
                <w:spacing w:val="1"/>
                <w:kern w:val="0"/>
                <w:sz w:val="18"/>
                <w:szCs w:val="18"/>
                <w:lang w:val="en-US" w:eastAsia="zh-CN" w:bidi="ar"/>
              </w:rPr>
              <w:t>电力</w:t>
            </w:r>
          </w:p>
        </w:tc>
        <w:tc>
          <w:tcPr>
            <w:tcW w:w="94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9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eastAsia" w:ascii="Times New Roman" w:hAnsi="Times New Roman" w:eastAsia="方正黑体_GBK" w:cs="Times New Roman"/>
                <w:color w:val="231F20"/>
                <w:kern w:val="0"/>
                <w:sz w:val="18"/>
                <w:szCs w:val="18"/>
                <w:vertAlign w:val="baseline"/>
                <w:lang w:val="en-US" w:eastAsia="zh-CN" w:bidi="ar"/>
              </w:rPr>
              <w:t>kWh</w:t>
            </w:r>
          </w:p>
        </w:tc>
        <w:tc>
          <w:tcPr>
            <w:tcW w:w="487"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1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eastAsia" w:ascii="Times New Roman" w:hAnsi="Times New Roman" w:cs="Times New Roman"/>
                <w:b w:val="0"/>
                <w:bCs w:val="0"/>
                <w:i w:val="0"/>
                <w:iCs w:val="0"/>
                <w:caps w:val="0"/>
                <w:color w:val="000000"/>
                <w:spacing w:val="1"/>
                <w:kern w:val="0"/>
                <w:sz w:val="18"/>
                <w:szCs w:val="18"/>
                <w:lang w:val="en-US" w:eastAsia="zh-CN" w:bidi="ar"/>
              </w:rPr>
              <w:t>柴油</w:t>
            </w:r>
          </w:p>
        </w:tc>
        <w:tc>
          <w:tcPr>
            <w:tcW w:w="94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9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eastAsia" w:ascii="Times New Roman" w:hAnsi="Times New Roman" w:eastAsia="方正黑体_GBK" w:cs="Times New Roman"/>
                <w:color w:val="231F20"/>
                <w:kern w:val="0"/>
                <w:sz w:val="18"/>
                <w:szCs w:val="18"/>
                <w:vertAlign w:val="baseline"/>
                <w:lang w:val="en-US" w:eastAsia="zh-CN" w:bidi="ar"/>
              </w:rPr>
              <w:t>t</w:t>
            </w:r>
          </w:p>
        </w:tc>
        <w:tc>
          <w:tcPr>
            <w:tcW w:w="487"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1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eastAsia" w:ascii="Times New Roman" w:hAnsi="Times New Roman" w:cs="Times New Roman"/>
                <w:b w:val="0"/>
                <w:bCs w:val="0"/>
                <w:i w:val="0"/>
                <w:iCs w:val="0"/>
                <w:caps w:val="0"/>
                <w:color w:val="000000"/>
                <w:spacing w:val="1"/>
                <w:kern w:val="0"/>
                <w:sz w:val="18"/>
                <w:szCs w:val="18"/>
                <w:lang w:val="en-US" w:eastAsia="zh-CN" w:bidi="ar"/>
              </w:rPr>
              <w:t>蒸汽</w:t>
            </w:r>
          </w:p>
        </w:tc>
        <w:tc>
          <w:tcPr>
            <w:tcW w:w="94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eastAsia" w:ascii="Times New Roman" w:hAnsi="Times New Roman" w:eastAsia="方正黑体_GBK" w:cs="Times New Roman"/>
                <w:color w:val="231F20"/>
                <w:kern w:val="0"/>
                <w:sz w:val="18"/>
                <w:szCs w:val="18"/>
                <w:vertAlign w:val="baseline"/>
                <w:lang w:val="en-US" w:eastAsia="zh-CN" w:bidi="ar"/>
              </w:rPr>
              <w:t>t</w:t>
            </w:r>
          </w:p>
        </w:tc>
        <w:tc>
          <w:tcPr>
            <w:tcW w:w="487"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1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eastAsia" w:ascii="Times New Roman" w:hAnsi="Times New Roman" w:cs="Times New Roman"/>
                <w:b w:val="0"/>
                <w:bCs w:val="0"/>
                <w:i w:val="0"/>
                <w:iCs w:val="0"/>
                <w:caps w:val="0"/>
                <w:color w:val="000000"/>
                <w:spacing w:val="1"/>
                <w:kern w:val="0"/>
                <w:sz w:val="18"/>
                <w:szCs w:val="18"/>
                <w:lang w:val="en-US" w:eastAsia="zh-CN" w:bidi="ar"/>
              </w:rPr>
              <w:t>水</w:t>
            </w:r>
          </w:p>
        </w:tc>
        <w:tc>
          <w:tcPr>
            <w:tcW w:w="94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eastAsia" w:ascii="Times New Roman" w:hAnsi="Times New Roman" w:eastAsia="方正黑体_GBK" w:cs="Times New Roman"/>
                <w:color w:val="231F20"/>
                <w:kern w:val="0"/>
                <w:sz w:val="18"/>
                <w:szCs w:val="18"/>
                <w:vertAlign w:val="baseline"/>
                <w:lang w:val="en-US" w:eastAsia="zh-CN" w:bidi="ar"/>
              </w:rPr>
              <w:t>m</w:t>
            </w:r>
            <w:r>
              <w:rPr>
                <w:rFonts w:hint="eastAsia" w:ascii="Times New Roman" w:hAnsi="Times New Roman" w:eastAsia="方正黑体_GBK" w:cs="Times New Roman"/>
                <w:color w:val="231F20"/>
                <w:kern w:val="0"/>
                <w:sz w:val="18"/>
                <w:szCs w:val="18"/>
                <w:vertAlign w:val="superscript"/>
                <w:lang w:val="en-US" w:eastAsia="zh-CN" w:bidi="ar"/>
              </w:rPr>
              <w:t>3</w:t>
            </w:r>
          </w:p>
        </w:tc>
        <w:tc>
          <w:tcPr>
            <w:tcW w:w="487"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1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w:t>
            </w:r>
          </w:p>
        </w:tc>
        <w:tc>
          <w:tcPr>
            <w:tcW w:w="94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9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487"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2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1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420" w:leftChars="200"/>
              <w:jc w:val="left"/>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eastAsia" w:ascii="Times New Roman" w:hAnsi="Times New Roman" w:cs="Times New Roman"/>
                <w:b w:val="0"/>
                <w:bCs w:val="0"/>
                <w:i w:val="0"/>
                <w:iCs w:val="0"/>
                <w:caps w:val="0"/>
                <w:color w:val="000000"/>
                <w:spacing w:val="1"/>
                <w:kern w:val="0"/>
                <w:sz w:val="28"/>
                <w:szCs w:val="28"/>
                <w:vertAlign w:val="superscript"/>
                <w:lang w:val="en-US" w:eastAsia="zh-CN" w:bidi="ar"/>
              </w:rPr>
              <w:t>a</w:t>
            </w:r>
            <w:r>
              <w:rPr>
                <w:rFonts w:hint="default" w:ascii="Times New Roman" w:hAnsi="Times New Roman" w:eastAsia="宋体" w:cs="Times New Roman"/>
                <w:b w:val="0"/>
                <w:bCs w:val="0"/>
                <w:i w:val="0"/>
                <w:iCs w:val="0"/>
                <w:caps w:val="0"/>
                <w:color w:val="000000"/>
                <w:spacing w:val="1"/>
                <w:kern w:val="0"/>
                <w:sz w:val="28"/>
                <w:szCs w:val="28"/>
                <w:vertAlign w:val="superscript"/>
                <w:lang w:val="en-US" w:eastAsia="zh-CN" w:bidi="ar"/>
              </w:rPr>
              <w:t xml:space="preserve"> </w:t>
            </w:r>
            <w:r>
              <w:rPr>
                <w:rFonts w:hint="default" w:ascii="Times New Roman" w:hAnsi="Times New Roman" w:eastAsia="宋体" w:cs="Times New Roman"/>
                <w:b w:val="0"/>
                <w:bCs w:val="0"/>
                <w:i w:val="0"/>
                <w:iCs w:val="0"/>
                <w:caps w:val="0"/>
                <w:color w:val="000000"/>
                <w:spacing w:val="1"/>
                <w:kern w:val="0"/>
                <w:sz w:val="18"/>
                <w:szCs w:val="18"/>
                <w:lang w:val="en-US" w:eastAsia="zh-CN" w:bidi="ar"/>
              </w:rPr>
              <w:t>公路运输、铁路运输、水路运输、航空运输等。</w:t>
            </w:r>
          </w:p>
        </w:tc>
      </w:tr>
    </w:tbl>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原材料获取阶段数据收集清单见表A.</w:t>
      </w:r>
      <w:r>
        <w:rPr>
          <w:rFonts w:hint="eastAsia" w:ascii="Times New Roman" w:hAnsi="Times New Roman" w:cs="Times New Roman"/>
          <w:lang w:val="en-US" w:eastAsia="zh-CN"/>
        </w:rPr>
        <w:t>3</w:t>
      </w:r>
      <w:r>
        <w:rPr>
          <w:rFonts w:hint="default" w:ascii="Times New Roman" w:hAnsi="Times New Roman" w:cs="Times New Roman"/>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default" w:ascii="Times New Roman" w:hAnsi="Times New Roman" w:eastAsia="方正黑体_GBK" w:cs="Times New Roman"/>
          <w:color w:val="231F20"/>
          <w:kern w:val="0"/>
          <w:sz w:val="21"/>
          <w:szCs w:val="21"/>
          <w:lang w:val="en-US" w:eastAsia="zh-CN" w:bidi="ar"/>
        </w:rPr>
      </w:pPr>
      <w:r>
        <w:rPr>
          <w:rFonts w:hint="default" w:ascii="Times New Roman" w:hAnsi="Times New Roman" w:eastAsia="方正黑体_GBK" w:cs="Times New Roman"/>
          <w:color w:val="231F20"/>
          <w:kern w:val="0"/>
          <w:sz w:val="21"/>
          <w:szCs w:val="21"/>
          <w:lang w:val="en-US" w:eastAsia="zh-CN" w:bidi="ar"/>
        </w:rPr>
        <w:t>表A.3 施工阶段数据收集表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1502"/>
        <w:gridCol w:w="960"/>
        <w:gridCol w:w="1074"/>
        <w:gridCol w:w="1652"/>
        <w:gridCol w:w="1250"/>
        <w:gridCol w:w="1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3"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工序</w:t>
            </w:r>
          </w:p>
        </w:tc>
        <w:tc>
          <w:tcPr>
            <w:tcW w:w="792"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输入</w:t>
            </w:r>
          </w:p>
        </w:tc>
        <w:tc>
          <w:tcPr>
            <w:tcW w:w="506"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单位</w:t>
            </w:r>
          </w:p>
        </w:tc>
        <w:tc>
          <w:tcPr>
            <w:tcW w:w="566"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数量</w:t>
            </w:r>
            <w:r>
              <w:rPr>
                <w:rStyle w:val="34"/>
                <w:rFonts w:hint="default" w:ascii="Times New Roman" w:hAnsi="Times New Roman" w:eastAsia="宋体" w:cs="Times New Roman"/>
                <w:b w:val="0"/>
                <w:bCs w:val="0"/>
                <w:i w:val="0"/>
                <w:iCs w:val="0"/>
                <w:caps w:val="0"/>
                <w:color w:val="000000"/>
                <w:spacing w:val="1"/>
                <w:kern w:val="0"/>
                <w:sz w:val="18"/>
                <w:szCs w:val="18"/>
                <w:vertAlign w:val="superscript"/>
                <w:lang w:val="en-US" w:eastAsia="zh-CN" w:bidi="ar"/>
              </w:rPr>
              <w:t>a</w:t>
            </w:r>
          </w:p>
        </w:tc>
        <w:tc>
          <w:tcPr>
            <w:tcW w:w="871"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规格型号/成分</w:t>
            </w:r>
          </w:p>
        </w:tc>
        <w:tc>
          <w:tcPr>
            <w:tcW w:w="147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3"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2"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06"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6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1"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65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运输方式</w:t>
            </w:r>
          </w:p>
        </w:tc>
        <w:tc>
          <w:tcPr>
            <w:tcW w:w="82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运输距离/km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3"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预制构件安装</w:t>
            </w:r>
          </w:p>
        </w:tc>
        <w:tc>
          <w:tcPr>
            <w:tcW w:w="79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预制构件产品</w:t>
            </w:r>
          </w:p>
        </w:tc>
        <w:tc>
          <w:tcPr>
            <w:tcW w:w="5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66"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5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2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3"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9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电力</w:t>
            </w:r>
          </w:p>
        </w:tc>
        <w:tc>
          <w:tcPr>
            <w:tcW w:w="5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66"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5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2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83"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9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eastAsia" w:ascii="Times New Roman" w:hAnsi="Times New Roman" w:cs="Times New Roman"/>
                <w:b w:val="0"/>
                <w:bCs w:val="0"/>
                <w:i w:val="0"/>
                <w:iCs w:val="0"/>
                <w:caps w:val="0"/>
                <w:color w:val="000000"/>
                <w:spacing w:val="1"/>
                <w:kern w:val="0"/>
                <w:sz w:val="18"/>
                <w:szCs w:val="18"/>
                <w:lang w:val="en-US" w:eastAsia="zh-CN" w:bidi="ar"/>
              </w:rPr>
              <w:t>燃料</w:t>
            </w:r>
          </w:p>
        </w:tc>
        <w:tc>
          <w:tcPr>
            <w:tcW w:w="5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66"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5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2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3"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9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eastAsia" w:ascii="Times New Roman" w:hAnsi="Times New Roman" w:cs="Times New Roman"/>
                <w:b w:val="0"/>
                <w:bCs w:val="0"/>
                <w:i w:val="0"/>
                <w:iCs w:val="0"/>
                <w:caps w:val="0"/>
                <w:color w:val="000000"/>
                <w:spacing w:val="1"/>
                <w:kern w:val="0"/>
                <w:sz w:val="18"/>
                <w:szCs w:val="18"/>
                <w:lang w:val="en-US" w:eastAsia="zh-CN" w:bidi="ar"/>
              </w:rPr>
              <w:t>水</w:t>
            </w:r>
          </w:p>
        </w:tc>
        <w:tc>
          <w:tcPr>
            <w:tcW w:w="5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66"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5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2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3"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9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w:t>
            </w:r>
          </w:p>
        </w:tc>
        <w:tc>
          <w:tcPr>
            <w:tcW w:w="5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66"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65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2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bl>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原材料获取阶段数据收集清单见表A.</w:t>
      </w:r>
      <w:r>
        <w:rPr>
          <w:rFonts w:hint="eastAsia" w:ascii="Times New Roman" w:hAnsi="Times New Roman" w:cs="Times New Roman"/>
          <w:lang w:val="en-US" w:eastAsia="zh-CN"/>
        </w:rPr>
        <w:t>4</w:t>
      </w:r>
      <w:r>
        <w:rPr>
          <w:rFonts w:hint="default" w:ascii="Times New Roman" w:hAnsi="Times New Roman" w:cs="Times New Roman"/>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default" w:ascii="Times New Roman" w:hAnsi="Times New Roman" w:eastAsia="方正黑体_GBK" w:cs="Times New Roman"/>
          <w:color w:val="231F20"/>
          <w:kern w:val="0"/>
          <w:sz w:val="21"/>
          <w:szCs w:val="21"/>
          <w:lang w:val="en-US" w:eastAsia="zh-CN" w:bidi="ar"/>
        </w:rPr>
      </w:pPr>
      <w:r>
        <w:rPr>
          <w:rFonts w:hint="default" w:ascii="Times New Roman" w:hAnsi="Times New Roman" w:eastAsia="方正黑体_GBK" w:cs="Times New Roman"/>
          <w:color w:val="231F20"/>
          <w:kern w:val="0"/>
          <w:sz w:val="21"/>
          <w:szCs w:val="21"/>
          <w:lang w:val="en-US" w:eastAsia="zh-CN" w:bidi="ar"/>
        </w:rPr>
        <w:t>表A.4 生命末期阶段数据收集表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1490"/>
        <w:gridCol w:w="978"/>
        <w:gridCol w:w="1115"/>
        <w:gridCol w:w="1517"/>
        <w:gridCol w:w="1500"/>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工序</w:t>
            </w:r>
          </w:p>
        </w:tc>
        <w:tc>
          <w:tcPr>
            <w:tcW w:w="786"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名称</w:t>
            </w:r>
          </w:p>
        </w:tc>
        <w:tc>
          <w:tcPr>
            <w:tcW w:w="516"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单位</w:t>
            </w:r>
          </w:p>
        </w:tc>
        <w:tc>
          <w:tcPr>
            <w:tcW w:w="588"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数量</w:t>
            </w:r>
            <w:r>
              <w:rPr>
                <w:rStyle w:val="34"/>
                <w:rFonts w:hint="default" w:ascii="Times New Roman" w:hAnsi="Times New Roman" w:eastAsia="宋体" w:cs="Times New Roman"/>
                <w:b w:val="0"/>
                <w:bCs w:val="0"/>
                <w:i w:val="0"/>
                <w:iCs w:val="0"/>
                <w:caps w:val="0"/>
                <w:color w:val="000000"/>
                <w:spacing w:val="1"/>
                <w:kern w:val="0"/>
                <w:sz w:val="18"/>
                <w:szCs w:val="18"/>
                <w:vertAlign w:val="superscript"/>
                <w:lang w:val="en-US" w:eastAsia="zh-CN" w:bidi="ar"/>
              </w:rPr>
              <w:t>a</w:t>
            </w:r>
          </w:p>
        </w:tc>
        <w:tc>
          <w:tcPr>
            <w:tcW w:w="800"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规格型号/成分</w:t>
            </w:r>
          </w:p>
        </w:tc>
        <w:tc>
          <w:tcPr>
            <w:tcW w:w="1668" w:type="pct"/>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86"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16"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80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9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运输方式</w:t>
            </w:r>
            <w:r>
              <w:rPr>
                <w:rStyle w:val="34"/>
                <w:rFonts w:hint="default" w:ascii="Times New Roman" w:hAnsi="Times New Roman" w:eastAsia="宋体" w:cs="Times New Roman"/>
                <w:b w:val="0"/>
                <w:bCs w:val="0"/>
                <w:i w:val="0"/>
                <w:iCs w:val="0"/>
                <w:caps w:val="0"/>
                <w:color w:val="000000"/>
                <w:spacing w:val="1"/>
                <w:kern w:val="0"/>
                <w:sz w:val="18"/>
                <w:szCs w:val="18"/>
                <w:vertAlign w:val="superscript"/>
                <w:lang w:val="en-US" w:eastAsia="zh-CN" w:bidi="ar"/>
              </w:rPr>
              <w:t>b</w:t>
            </w:r>
          </w:p>
        </w:tc>
        <w:tc>
          <w:tcPr>
            <w:tcW w:w="8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Style w:val="34"/>
                <w:rFonts w:hint="default" w:ascii="Times New Roman" w:hAnsi="Times New Roman" w:eastAsia="宋体" w:cs="Times New Roman"/>
                <w:b w:val="0"/>
                <w:bCs w:val="0"/>
                <w:i w:val="0"/>
                <w:iCs w:val="0"/>
                <w:caps w:val="0"/>
                <w:color w:val="000000"/>
                <w:spacing w:val="1"/>
                <w:kern w:val="0"/>
                <w:sz w:val="18"/>
                <w:szCs w:val="18"/>
                <w:lang w:val="en-US" w:eastAsia="zh-CN" w:bidi="ar"/>
              </w:rPr>
              <w:t>运输距离/km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拆除</w:t>
            </w:r>
          </w:p>
        </w:tc>
        <w:tc>
          <w:tcPr>
            <w:tcW w:w="78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废旧预制构件</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8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电力</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88"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8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燃料</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588"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8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循环利用</w:t>
            </w:r>
          </w:p>
        </w:tc>
        <w:tc>
          <w:tcPr>
            <w:tcW w:w="78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钢筋</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8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碎石骨料</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8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填埋</w:t>
            </w:r>
          </w:p>
        </w:tc>
        <w:tc>
          <w:tcPr>
            <w:tcW w:w="78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碎石骨料</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78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18"/>
                <w:szCs w:val="18"/>
                <w:lang w:val="en-US" w:eastAsia="zh-CN" w:bidi="ar"/>
              </w:rPr>
              <w:t>......</w:t>
            </w:r>
          </w:p>
        </w:tc>
        <w:tc>
          <w:tcPr>
            <w:tcW w:w="51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方正黑体_GBK" w:cs="Times New Roman"/>
                <w:color w:val="231F20"/>
                <w:kern w:val="0"/>
                <w:sz w:val="18"/>
                <w:szCs w:val="18"/>
                <w:vertAlign w:val="baseline"/>
                <w:lang w:val="en-US" w:eastAsia="zh-CN" w:bidi="ar"/>
              </w:rPr>
              <w:t>......</w:t>
            </w:r>
          </w:p>
        </w:tc>
        <w:tc>
          <w:tcPr>
            <w:tcW w:w="78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1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p>
        </w:tc>
        <w:tc>
          <w:tcPr>
            <w:tcW w:w="588"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00"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79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c>
          <w:tcPr>
            <w:tcW w:w="87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黑体_GBK" w:cs="Times New Roman"/>
                <w:color w:val="231F20"/>
                <w:kern w:val="0"/>
                <w:sz w:val="18"/>
                <w:szCs w:val="18"/>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420" w:leftChars="200"/>
              <w:jc w:val="left"/>
              <w:textAlignment w:val="auto"/>
              <w:rPr>
                <w:rFonts w:hint="default" w:ascii="Times New Roman" w:hAnsi="Times New Roman" w:eastAsia="宋体" w:cs="Times New Roman"/>
                <w:b w:val="0"/>
                <w:bCs w:val="0"/>
                <w:i w:val="0"/>
                <w:iCs w:val="0"/>
                <w:caps w:val="0"/>
                <w:color w:val="000000"/>
                <w:spacing w:val="1"/>
                <w:kern w:val="0"/>
                <w:sz w:val="18"/>
                <w:szCs w:val="18"/>
                <w:lang w:val="en-US" w:eastAsia="zh-CN" w:bidi="ar"/>
              </w:rPr>
            </w:pPr>
            <w:r>
              <w:rPr>
                <w:rFonts w:hint="default" w:ascii="Times New Roman" w:hAnsi="Times New Roman" w:eastAsia="宋体" w:cs="Times New Roman"/>
                <w:b w:val="0"/>
                <w:bCs w:val="0"/>
                <w:i w:val="0"/>
                <w:iCs w:val="0"/>
                <w:caps w:val="0"/>
                <w:color w:val="000000"/>
                <w:spacing w:val="1"/>
                <w:kern w:val="0"/>
                <w:sz w:val="28"/>
                <w:szCs w:val="28"/>
                <w:vertAlign w:val="superscript"/>
                <w:lang w:val="en-US" w:eastAsia="zh-CN" w:bidi="ar"/>
              </w:rPr>
              <w:t xml:space="preserve">a </w:t>
            </w:r>
            <w:r>
              <w:rPr>
                <w:rFonts w:hint="default" w:ascii="Times New Roman" w:hAnsi="Times New Roman" w:eastAsia="宋体" w:cs="Times New Roman"/>
                <w:b w:val="0"/>
                <w:bCs w:val="0"/>
                <w:i w:val="0"/>
                <w:iCs w:val="0"/>
                <w:caps w:val="0"/>
                <w:color w:val="000000"/>
                <w:spacing w:val="1"/>
                <w:kern w:val="0"/>
                <w:sz w:val="18"/>
                <w:szCs w:val="18"/>
                <w:lang w:val="en-US" w:eastAsia="zh-CN" w:bidi="ar"/>
              </w:rPr>
              <w:t>每功能单位产品使用该材料的总量。</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420" w:leftChars="200"/>
              <w:jc w:val="left"/>
              <w:textAlignment w:val="auto"/>
              <w:rPr>
                <w:rFonts w:hint="default" w:ascii="Times New Roman" w:hAnsi="Times New Roman" w:eastAsia="方正黑体_GBK" w:cs="Times New Roman"/>
                <w:color w:val="231F20"/>
                <w:kern w:val="0"/>
                <w:sz w:val="18"/>
                <w:szCs w:val="18"/>
                <w:vertAlign w:val="baseline"/>
                <w:lang w:val="en-US" w:eastAsia="zh-CN" w:bidi="ar"/>
              </w:rPr>
            </w:pPr>
            <w:r>
              <w:rPr>
                <w:rFonts w:hint="default" w:ascii="Times New Roman" w:hAnsi="Times New Roman" w:eastAsia="宋体" w:cs="Times New Roman"/>
                <w:b w:val="0"/>
                <w:bCs w:val="0"/>
                <w:i w:val="0"/>
                <w:iCs w:val="0"/>
                <w:caps w:val="0"/>
                <w:color w:val="000000"/>
                <w:spacing w:val="1"/>
                <w:kern w:val="0"/>
                <w:sz w:val="28"/>
                <w:szCs w:val="28"/>
                <w:vertAlign w:val="superscript"/>
                <w:lang w:val="en-US" w:eastAsia="zh-CN" w:bidi="ar"/>
              </w:rPr>
              <w:t xml:space="preserve">b </w:t>
            </w:r>
            <w:r>
              <w:rPr>
                <w:rFonts w:hint="default" w:ascii="Times New Roman" w:hAnsi="Times New Roman" w:eastAsia="宋体" w:cs="Times New Roman"/>
                <w:b w:val="0"/>
                <w:bCs w:val="0"/>
                <w:i w:val="0"/>
                <w:iCs w:val="0"/>
                <w:caps w:val="0"/>
                <w:color w:val="000000"/>
                <w:spacing w:val="1"/>
                <w:kern w:val="0"/>
                <w:sz w:val="18"/>
                <w:szCs w:val="18"/>
                <w:lang w:val="en-US" w:eastAsia="zh-CN" w:bidi="ar"/>
              </w:rPr>
              <w:t>公路运输、铁路运输、水路运输、航空运输等。</w:t>
            </w:r>
          </w:p>
        </w:tc>
      </w:tr>
    </w:tbl>
    <w:p>
      <w:pPr>
        <w:bidi w:val="0"/>
        <w:rPr>
          <w:rFonts w:hint="default" w:ascii="Times New Roman" w:hAnsi="Times New Roman" w:cs="Times New Roman"/>
        </w:rPr>
      </w:pPr>
    </w:p>
    <w:p>
      <w:pPr>
        <w:keepNext/>
        <w:keepLines/>
        <w:adjustRightInd/>
        <w:spacing w:before="120" w:beforeLines="50" w:after="120" w:afterLines="50" w:line="360" w:lineRule="auto"/>
        <w:jc w:val="center"/>
        <w:outlineLvl w:val="0"/>
        <w:rPr>
          <w:rFonts w:hint="default" w:ascii="Times New Roman" w:hAnsi="Times New Roman" w:eastAsia="黑体" w:cs="Times New Roman"/>
          <w:b/>
          <w:bCs/>
          <w:kern w:val="44"/>
        </w:rPr>
      </w:pPr>
      <w:bookmarkStart w:id="242" w:name="_Toc4122"/>
      <w:r>
        <w:rPr>
          <w:rFonts w:hint="default" w:ascii="Times New Roman" w:hAnsi="Times New Roman" w:eastAsia="黑体" w:cs="Times New Roman"/>
          <w:b/>
          <w:bCs/>
          <w:kern w:val="44"/>
        </w:rPr>
        <w:t>附录</w:t>
      </w:r>
      <w:r>
        <w:rPr>
          <w:rFonts w:hint="default" w:ascii="Times New Roman" w:hAnsi="Times New Roman" w:eastAsia="黑体" w:cs="Times New Roman"/>
          <w:b/>
          <w:bCs/>
          <w:kern w:val="44"/>
          <w:lang w:val="en-US" w:eastAsia="zh-CN"/>
        </w:rPr>
        <w:t>B</w:t>
      </w:r>
      <w:r>
        <w:rPr>
          <w:rFonts w:hint="default" w:ascii="Times New Roman" w:hAnsi="Times New Roman" w:eastAsia="黑体" w:cs="Times New Roman"/>
          <w:b/>
          <w:bCs/>
          <w:kern w:val="44"/>
        </w:rPr>
        <w:t xml:space="preserve"> </w:t>
      </w:r>
      <w:bookmarkEnd w:id="223"/>
      <w:bookmarkEnd w:id="224"/>
      <w:bookmarkEnd w:id="225"/>
      <w:bookmarkEnd w:id="242"/>
    </w:p>
    <w:p>
      <w:pPr>
        <w:pStyle w:val="110"/>
        <w:numPr>
          <w:ilvl w:val="1"/>
          <w:numId w:val="0"/>
        </w:numPr>
        <w:spacing w:before="0" w:beforeLines="0" w:after="0" w:afterLines="0"/>
        <w:jc w:val="center"/>
        <w:rPr>
          <w:rFonts w:hint="eastAsia" w:ascii="黑体" w:hAnsi="黑体" w:eastAsia="黑体" w:cs="黑体"/>
          <w:b w:val="0"/>
          <w:bCs w:val="0"/>
          <w:szCs w:val="21"/>
        </w:rPr>
      </w:pPr>
      <w:bookmarkStart w:id="243" w:name="_Toc13609"/>
      <w:bookmarkStart w:id="244" w:name="_Toc6750"/>
      <w:bookmarkStart w:id="245" w:name="_Toc6907"/>
      <w:bookmarkStart w:id="246" w:name="_Toc1521"/>
      <w:bookmarkStart w:id="247" w:name="_Toc13989"/>
      <w:bookmarkStart w:id="248" w:name="_Toc23082"/>
      <w:bookmarkStart w:id="249" w:name="_Toc26712"/>
      <w:bookmarkStart w:id="250" w:name="_Toc1460"/>
      <w:bookmarkStart w:id="251" w:name="_Toc12497"/>
      <w:bookmarkStart w:id="252" w:name="_Toc3342"/>
      <w:r>
        <w:rPr>
          <w:rFonts w:hint="eastAsia" w:ascii="黑体" w:hAnsi="黑体" w:eastAsia="黑体" w:cs="黑体"/>
          <w:b w:val="0"/>
          <w:bCs w:val="0"/>
          <w:szCs w:val="21"/>
        </w:rPr>
        <w:t>（资料性）</w:t>
      </w:r>
      <w:bookmarkEnd w:id="243"/>
      <w:bookmarkEnd w:id="244"/>
      <w:bookmarkEnd w:id="245"/>
      <w:bookmarkEnd w:id="246"/>
      <w:bookmarkEnd w:id="247"/>
    </w:p>
    <w:p>
      <w:pPr>
        <w:jc w:val="center"/>
        <w:rPr>
          <w:rFonts w:hint="eastAsia" w:ascii="黑体" w:hAnsi="黑体" w:eastAsia="黑体" w:cs="黑体"/>
          <w:b w:val="0"/>
          <w:bCs w:val="0"/>
          <w:kern w:val="44"/>
        </w:rPr>
      </w:pPr>
      <w:r>
        <w:rPr>
          <w:rFonts w:hint="eastAsia" w:ascii="黑体" w:hAnsi="黑体" w:eastAsia="黑体" w:cs="黑体"/>
          <w:b w:val="0"/>
          <w:bCs w:val="0"/>
          <w:kern w:val="44"/>
        </w:rPr>
        <w:t>温室气体全球变暖潜值（GWP）</w:t>
      </w:r>
    </w:p>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温室气体全球增温潜势值见表B.1。</w:t>
      </w:r>
    </w:p>
    <w:p>
      <w:pPr>
        <w:pStyle w:val="82"/>
        <w:numPr>
          <w:ilvl w:val="0"/>
          <w:numId w:val="0"/>
        </w:numPr>
        <w:spacing w:before="60" w:after="120"/>
        <w:outlineLvl w:val="9"/>
        <w:rPr>
          <w:rFonts w:hint="default" w:ascii="Times New Roman" w:hAnsi="Times New Roman" w:cs="Times New Roman"/>
          <w:b/>
          <w:bCs/>
        </w:rPr>
      </w:pPr>
      <w:r>
        <w:rPr>
          <w:rFonts w:hint="default" w:ascii="Times New Roman" w:hAnsi="Times New Roman" w:cs="Times New Roman"/>
          <w:b w:val="0"/>
          <w:bCs w:val="0"/>
        </w:rPr>
        <w:t>表</w:t>
      </w:r>
      <w:bookmarkEnd w:id="248"/>
      <w:bookmarkEnd w:id="249"/>
      <w:bookmarkEnd w:id="250"/>
      <w:r>
        <w:rPr>
          <w:rFonts w:hint="eastAsia" w:ascii="Times New Roman" w:hAnsi="Times New Roman" w:cs="Times New Roman"/>
          <w:lang w:val="en-US" w:eastAsia="zh-CN"/>
        </w:rPr>
        <w:t>B.1</w:t>
      </w:r>
      <w:r>
        <w:rPr>
          <w:rFonts w:hint="default" w:ascii="Times New Roman" w:hAnsi="Times New Roman" w:cs="Times New Roman"/>
          <w:b w:val="0"/>
          <w:bCs w:val="0"/>
          <w:lang w:val="en-US" w:eastAsia="zh-CN"/>
        </w:rPr>
        <w:t xml:space="preserve"> </w:t>
      </w:r>
      <w:r>
        <w:rPr>
          <w:rFonts w:hint="default" w:ascii="Times New Roman" w:hAnsi="Times New Roman" w:cs="Times New Roman"/>
          <w:b w:val="0"/>
          <w:bCs w:val="0"/>
        </w:rPr>
        <w:t>温室气体全球变暖潜值（GWP）</w:t>
      </w:r>
      <w:bookmarkEnd w:id="251"/>
      <w:bookmarkEnd w:id="252"/>
    </w:p>
    <w:tbl>
      <w:tblPr>
        <w:tblStyle w:val="256"/>
        <w:tblW w:w="9222" w:type="dxa"/>
        <w:tblInd w:w="7" w:type="dxa"/>
        <w:tblBorders>
          <w:top w:val="single" w:color="auto" w:sz="4" w:space="0"/>
          <w:left w:val="single" w:color="auto" w:sz="4" w:space="0"/>
          <w:bottom w:val="single" w:color="auto" w:sz="4" w:space="0"/>
          <w:right w:val="single" w:color="auto" w:sz="4" w:space="0"/>
          <w:insideH w:val="single" w:color="231F20" w:sz="2" w:space="0"/>
          <w:insideV w:val="single" w:color="231F20" w:sz="2" w:space="0"/>
        </w:tblBorders>
        <w:tblLayout w:type="fixed"/>
        <w:tblCellMar>
          <w:top w:w="0" w:type="dxa"/>
          <w:left w:w="0" w:type="dxa"/>
          <w:bottom w:w="0" w:type="dxa"/>
          <w:right w:w="0" w:type="dxa"/>
        </w:tblCellMar>
      </w:tblPr>
      <w:tblGrid>
        <w:gridCol w:w="3071"/>
        <w:gridCol w:w="3063"/>
        <w:gridCol w:w="3088"/>
      </w:tblGrid>
      <w:tr>
        <w:tblPrEx>
          <w:tblBorders>
            <w:top w:val="single" w:color="auto" w:sz="4" w:space="0"/>
            <w:left w:val="single" w:color="auto" w:sz="4" w:space="0"/>
            <w:bottom w:val="single" w:color="auto" w:sz="4" w:space="0"/>
            <w:right w:val="single" w:color="auto" w:sz="4" w:space="0"/>
            <w:insideH w:val="single" w:color="231F20" w:sz="2" w:space="0"/>
            <w:insideV w:val="single" w:color="231F20" w:sz="2" w:space="0"/>
          </w:tblBorders>
        </w:tblPrEx>
        <w:trPr>
          <w:trHeight w:val="353" w:hRule="atLeast"/>
        </w:trPr>
        <w:tc>
          <w:tcPr>
            <w:tcW w:w="3071" w:type="dxa"/>
            <w:tcBorders>
              <w:bottom w:val="single" w:color="auto" w:sz="4" w:space="0"/>
            </w:tcBorders>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温室气体种类</w:t>
            </w:r>
          </w:p>
        </w:tc>
        <w:tc>
          <w:tcPr>
            <w:tcW w:w="3063" w:type="dxa"/>
            <w:tcBorders>
              <w:bottom w:val="single" w:color="auto" w:sz="4" w:space="0"/>
            </w:tcBorders>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化学分子式</w:t>
            </w:r>
          </w:p>
        </w:tc>
        <w:tc>
          <w:tcPr>
            <w:tcW w:w="3088" w:type="dxa"/>
            <w:tcBorders>
              <w:bottom w:val="single" w:color="auto" w:sz="4" w:space="0"/>
            </w:tcBorders>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100年增温潜势</w:t>
            </w:r>
          </w:p>
        </w:tc>
      </w:tr>
      <w:tr>
        <w:tblPrEx>
          <w:tblBorders>
            <w:top w:val="single" w:color="auto" w:sz="4" w:space="0"/>
            <w:left w:val="single" w:color="auto" w:sz="4" w:space="0"/>
            <w:bottom w:val="single" w:color="auto" w:sz="4" w:space="0"/>
            <w:right w:val="single" w:color="auto" w:sz="4" w:space="0"/>
            <w:insideH w:val="single" w:color="231F20" w:sz="2" w:space="0"/>
            <w:insideV w:val="single" w:color="231F20" w:sz="2" w:space="0"/>
          </w:tblBorders>
          <w:tblCellMar>
            <w:top w:w="0" w:type="dxa"/>
            <w:left w:w="0" w:type="dxa"/>
            <w:bottom w:w="0" w:type="dxa"/>
            <w:right w:w="0" w:type="dxa"/>
          </w:tblCellMar>
        </w:tblPrEx>
        <w:trPr>
          <w:trHeight w:val="345" w:hRule="atLeast"/>
        </w:trPr>
        <w:tc>
          <w:tcPr>
            <w:tcW w:w="3071" w:type="dxa"/>
            <w:tcBorders>
              <w:top w:val="single" w:color="auto" w:sz="4" w:space="0"/>
            </w:tcBorders>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二氧化碳</w:t>
            </w:r>
          </w:p>
        </w:tc>
        <w:tc>
          <w:tcPr>
            <w:tcW w:w="3063" w:type="dxa"/>
            <w:tcBorders>
              <w:top w:val="single" w:color="auto" w:sz="4" w:space="0"/>
            </w:tcBorders>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CO</w:t>
            </w:r>
            <w:r>
              <w:rPr>
                <w:rFonts w:hint="default" w:ascii="Times New Roman" w:hAnsi="Times New Roman" w:cs="Times New Roman"/>
                <w:color w:val="231F20"/>
                <w:kern w:val="0"/>
                <w:sz w:val="18"/>
                <w:szCs w:val="18"/>
                <w:vertAlign w:val="subscript"/>
              </w:rPr>
              <w:t>2</w:t>
            </w:r>
          </w:p>
        </w:tc>
        <w:tc>
          <w:tcPr>
            <w:tcW w:w="3088" w:type="dxa"/>
            <w:tcBorders>
              <w:top w:val="single" w:color="auto" w:sz="4" w:space="0"/>
            </w:tcBorders>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231F20" w:sz="2" w:space="0"/>
            <w:insideV w:val="single" w:color="231F20" w:sz="2" w:space="0"/>
          </w:tblBorders>
          <w:tblCellMar>
            <w:top w:w="0" w:type="dxa"/>
            <w:left w:w="0" w:type="dxa"/>
            <w:bottom w:w="0" w:type="dxa"/>
            <w:right w:w="0" w:type="dxa"/>
          </w:tblCellMar>
        </w:tblPrEx>
        <w:trPr>
          <w:trHeight w:val="355" w:hRule="atLeast"/>
        </w:trPr>
        <w:tc>
          <w:tcPr>
            <w:tcW w:w="3071" w:type="dxa"/>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甲烷</w:t>
            </w:r>
          </w:p>
        </w:tc>
        <w:tc>
          <w:tcPr>
            <w:tcW w:w="3063" w:type="dxa"/>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CH</w:t>
            </w:r>
            <w:r>
              <w:rPr>
                <w:rFonts w:hint="default" w:ascii="Times New Roman" w:hAnsi="Times New Roman" w:cs="Times New Roman"/>
                <w:color w:val="231F20"/>
                <w:kern w:val="0"/>
                <w:sz w:val="18"/>
                <w:szCs w:val="18"/>
                <w:vertAlign w:val="subscript"/>
              </w:rPr>
              <w:t>4</w:t>
            </w:r>
          </w:p>
        </w:tc>
        <w:tc>
          <w:tcPr>
            <w:tcW w:w="3088" w:type="dxa"/>
          </w:tcPr>
          <w:p>
            <w:pPr>
              <w:widowControl/>
              <w:spacing w:line="240" w:lineRule="auto"/>
              <w:jc w:val="center"/>
              <w:rPr>
                <w:rFonts w:hint="default" w:ascii="Times New Roman" w:hAnsi="Times New Roman" w:eastAsia="宋体" w:cs="Times New Roman"/>
                <w:color w:val="231F20"/>
                <w:kern w:val="0"/>
                <w:sz w:val="18"/>
                <w:szCs w:val="18"/>
                <w:lang w:val="en-US" w:eastAsia="zh-CN"/>
              </w:rPr>
            </w:pPr>
            <w:r>
              <w:rPr>
                <w:rFonts w:hint="default" w:ascii="Times New Roman" w:hAnsi="Times New Roman" w:cs="Times New Roman"/>
                <w:color w:val="231F20"/>
                <w:kern w:val="0"/>
                <w:sz w:val="18"/>
                <w:szCs w:val="18"/>
                <w:lang w:val="en-US" w:eastAsia="zh-CN"/>
              </w:rPr>
              <w:t>27.9</w:t>
            </w:r>
          </w:p>
        </w:tc>
      </w:tr>
      <w:tr>
        <w:tblPrEx>
          <w:tblBorders>
            <w:top w:val="single" w:color="auto" w:sz="4" w:space="0"/>
            <w:left w:val="single" w:color="auto" w:sz="4" w:space="0"/>
            <w:bottom w:val="single" w:color="auto" w:sz="4" w:space="0"/>
            <w:right w:val="single" w:color="auto" w:sz="4" w:space="0"/>
            <w:insideH w:val="single" w:color="231F20" w:sz="2" w:space="0"/>
            <w:insideV w:val="single" w:color="231F20" w:sz="2" w:space="0"/>
          </w:tblBorders>
          <w:tblCellMar>
            <w:top w:w="0" w:type="dxa"/>
            <w:left w:w="0" w:type="dxa"/>
            <w:bottom w:w="0" w:type="dxa"/>
            <w:right w:w="0" w:type="dxa"/>
          </w:tblCellMar>
        </w:tblPrEx>
        <w:trPr>
          <w:trHeight w:val="355" w:hRule="atLeast"/>
        </w:trPr>
        <w:tc>
          <w:tcPr>
            <w:tcW w:w="3071" w:type="dxa"/>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氧化亚氮</w:t>
            </w:r>
          </w:p>
        </w:tc>
        <w:tc>
          <w:tcPr>
            <w:tcW w:w="3063" w:type="dxa"/>
          </w:tcPr>
          <w:p>
            <w:pPr>
              <w:widowControl/>
              <w:spacing w:line="240" w:lineRule="auto"/>
              <w:jc w:val="center"/>
              <w:rPr>
                <w:rFonts w:hint="default" w:ascii="Times New Roman" w:hAnsi="Times New Roman" w:cs="Times New Roman"/>
                <w:color w:val="231F20"/>
                <w:kern w:val="0"/>
                <w:sz w:val="18"/>
                <w:szCs w:val="18"/>
              </w:rPr>
            </w:pPr>
            <w:r>
              <w:rPr>
                <w:rFonts w:hint="default" w:ascii="Times New Roman" w:hAnsi="Times New Roman" w:cs="Times New Roman"/>
                <w:color w:val="231F20"/>
                <w:kern w:val="0"/>
                <w:sz w:val="18"/>
                <w:szCs w:val="18"/>
              </w:rPr>
              <w:t>N</w:t>
            </w:r>
            <w:r>
              <w:rPr>
                <w:rFonts w:hint="default" w:ascii="Times New Roman" w:hAnsi="Times New Roman" w:cs="Times New Roman"/>
                <w:color w:val="231F20"/>
                <w:kern w:val="0"/>
                <w:sz w:val="18"/>
                <w:szCs w:val="18"/>
                <w:vertAlign w:val="subscript"/>
              </w:rPr>
              <w:t>2</w:t>
            </w:r>
            <w:r>
              <w:rPr>
                <w:rFonts w:hint="default" w:ascii="Times New Roman" w:hAnsi="Times New Roman" w:cs="Times New Roman"/>
                <w:color w:val="231F20"/>
                <w:kern w:val="0"/>
                <w:sz w:val="18"/>
                <w:szCs w:val="18"/>
              </w:rPr>
              <w:t>O</w:t>
            </w:r>
          </w:p>
        </w:tc>
        <w:tc>
          <w:tcPr>
            <w:tcW w:w="3088" w:type="dxa"/>
          </w:tcPr>
          <w:p>
            <w:pPr>
              <w:widowControl/>
              <w:spacing w:line="240" w:lineRule="auto"/>
              <w:jc w:val="center"/>
              <w:rPr>
                <w:rFonts w:hint="default" w:ascii="Times New Roman" w:hAnsi="Times New Roman" w:eastAsia="宋体" w:cs="Times New Roman"/>
                <w:color w:val="231F20"/>
                <w:kern w:val="0"/>
                <w:sz w:val="18"/>
                <w:szCs w:val="18"/>
                <w:lang w:val="en-US" w:eastAsia="zh-CN"/>
              </w:rPr>
            </w:pPr>
            <w:r>
              <w:rPr>
                <w:rFonts w:hint="default" w:ascii="Times New Roman" w:hAnsi="Times New Roman" w:cs="Times New Roman"/>
                <w:color w:val="231F20"/>
                <w:kern w:val="0"/>
                <w:sz w:val="18"/>
                <w:szCs w:val="18"/>
                <w:lang w:val="en-US" w:eastAsia="zh-CN"/>
              </w:rPr>
              <w:t>273</w:t>
            </w:r>
          </w:p>
        </w:tc>
      </w:tr>
      <w:tr>
        <w:tblPrEx>
          <w:tblBorders>
            <w:top w:val="single" w:color="auto" w:sz="4" w:space="0"/>
            <w:left w:val="single" w:color="auto" w:sz="4" w:space="0"/>
            <w:bottom w:val="single" w:color="auto" w:sz="4" w:space="0"/>
            <w:right w:val="single" w:color="auto" w:sz="4" w:space="0"/>
            <w:insideH w:val="single" w:color="231F20" w:sz="2" w:space="0"/>
            <w:insideV w:val="single" w:color="231F20" w:sz="2" w:space="0"/>
          </w:tblBorders>
          <w:tblCellMar>
            <w:top w:w="0" w:type="dxa"/>
            <w:left w:w="0" w:type="dxa"/>
            <w:bottom w:w="0" w:type="dxa"/>
            <w:right w:w="0" w:type="dxa"/>
          </w:tblCellMar>
        </w:tblPrEx>
        <w:trPr>
          <w:trHeight w:val="355" w:hRule="atLeast"/>
        </w:trPr>
        <w:tc>
          <w:tcPr>
            <w:tcW w:w="9222" w:type="dxa"/>
            <w:gridSpan w:val="3"/>
          </w:tcPr>
          <w:p>
            <w:pPr>
              <w:widowControl/>
              <w:spacing w:line="240" w:lineRule="auto"/>
              <w:jc w:val="left"/>
              <w:rPr>
                <w:rFonts w:hint="default" w:ascii="Times New Roman" w:hAnsi="Times New Roman" w:cs="Times New Roman"/>
                <w:color w:val="231F20"/>
                <w:kern w:val="0"/>
                <w:sz w:val="18"/>
                <w:szCs w:val="18"/>
                <w:lang w:val="en-US" w:eastAsia="zh-CN"/>
              </w:rPr>
            </w:pPr>
            <w:r>
              <w:rPr>
                <w:rFonts w:hint="default" w:ascii="Times New Roman" w:hAnsi="Times New Roman" w:cs="Times New Roman"/>
                <w:color w:val="231F20"/>
                <w:kern w:val="0"/>
                <w:sz w:val="18"/>
                <w:szCs w:val="18"/>
                <w:lang w:val="en-US" w:eastAsia="zh-CN"/>
              </w:rPr>
              <w:t>注：数据来源于《IPCC气候变化报告 2021:自然科学基础》。</w:t>
            </w:r>
          </w:p>
        </w:tc>
      </w:tr>
    </w:tbl>
    <w:p>
      <w:pPr>
        <w:pStyle w:val="62"/>
        <w:ind w:firstLine="420"/>
        <w:rPr>
          <w:rFonts w:hint="default" w:ascii="Times New Roman" w:hAnsi="Times New Roman" w:cs="Times New Roman"/>
        </w:rPr>
      </w:pPr>
    </w:p>
    <w:p>
      <w:pPr>
        <w:keepNext/>
        <w:keepLines/>
        <w:adjustRightInd/>
        <w:spacing w:before="120" w:beforeLines="50" w:after="120" w:afterLines="50" w:line="360" w:lineRule="auto"/>
        <w:jc w:val="center"/>
        <w:outlineLvl w:val="0"/>
        <w:rPr>
          <w:rFonts w:hint="default" w:ascii="Times New Roman" w:hAnsi="Times New Roman" w:eastAsia="黑体" w:cs="Times New Roman"/>
          <w:b/>
          <w:bCs/>
          <w:kern w:val="44"/>
        </w:rPr>
      </w:pPr>
      <w:bookmarkStart w:id="253" w:name="_Toc17240"/>
      <w:bookmarkEnd w:id="253"/>
      <w:bookmarkStart w:id="254" w:name="_Toc23946"/>
      <w:bookmarkEnd w:id="254"/>
      <w:bookmarkStart w:id="255" w:name="_Toc169612653"/>
      <w:bookmarkStart w:id="256" w:name="_Toc28857"/>
      <w:r>
        <w:rPr>
          <w:rFonts w:hint="default" w:ascii="Times New Roman" w:hAnsi="Times New Roman" w:eastAsia="黑体" w:cs="Times New Roman"/>
          <w:b/>
          <w:bCs/>
          <w:kern w:val="44"/>
        </w:rPr>
        <w:t>附录</w:t>
      </w:r>
      <w:r>
        <w:rPr>
          <w:rFonts w:hint="default" w:ascii="Times New Roman" w:hAnsi="Times New Roman" w:eastAsia="黑体" w:cs="Times New Roman"/>
          <w:b/>
          <w:bCs/>
          <w:kern w:val="44"/>
          <w:lang w:val="en-US" w:eastAsia="zh-CN"/>
        </w:rPr>
        <w:t>C</w:t>
      </w:r>
      <w:r>
        <w:rPr>
          <w:rFonts w:hint="default" w:ascii="Times New Roman" w:hAnsi="Times New Roman" w:eastAsia="黑体" w:cs="Times New Roman"/>
          <w:b/>
          <w:bCs/>
          <w:kern w:val="44"/>
        </w:rPr>
        <w:t xml:space="preserve"> </w:t>
      </w:r>
    </w:p>
    <w:p>
      <w:pPr>
        <w:pStyle w:val="110"/>
        <w:numPr>
          <w:ilvl w:val="1"/>
          <w:numId w:val="0"/>
        </w:numPr>
        <w:spacing w:before="0" w:beforeLines="0" w:after="0" w:afterLines="0"/>
        <w:jc w:val="center"/>
        <w:rPr>
          <w:rFonts w:hint="eastAsia" w:ascii="黑体" w:hAnsi="黑体" w:eastAsia="黑体" w:cs="黑体"/>
          <w:b w:val="0"/>
          <w:bCs w:val="0"/>
          <w:szCs w:val="21"/>
        </w:rPr>
      </w:pPr>
      <w:r>
        <w:rPr>
          <w:rFonts w:hint="eastAsia" w:ascii="黑体" w:hAnsi="黑体" w:eastAsia="黑体" w:cs="黑体"/>
          <w:b w:val="0"/>
          <w:bCs w:val="0"/>
          <w:szCs w:val="21"/>
        </w:rPr>
        <w:t>（资料性）</w:t>
      </w:r>
    </w:p>
    <w:p>
      <w:pPr>
        <w:pStyle w:val="110"/>
        <w:numPr>
          <w:ilvl w:val="1"/>
          <w:numId w:val="0"/>
        </w:numPr>
        <w:spacing w:before="0" w:beforeLines="0" w:after="0" w:afterLines="0"/>
        <w:jc w:val="center"/>
        <w:rPr>
          <w:rFonts w:hint="eastAsia" w:ascii="黑体" w:hAnsi="黑体" w:eastAsia="黑体" w:cs="黑体"/>
          <w:b w:val="0"/>
          <w:bCs w:val="0"/>
          <w:szCs w:val="21"/>
          <w:lang w:val="en-US" w:eastAsia="zh-CN"/>
        </w:rPr>
      </w:pPr>
      <w:r>
        <w:rPr>
          <w:rFonts w:hint="eastAsia" w:ascii="黑体" w:hAnsi="黑体" w:eastAsia="黑体" w:cs="黑体"/>
          <w:b w:val="0"/>
          <w:bCs w:val="0"/>
          <w:szCs w:val="21"/>
        </w:rPr>
        <w:t>主要化石燃料</w:t>
      </w:r>
      <w:bookmarkEnd w:id="255"/>
      <w:r>
        <w:rPr>
          <w:rFonts w:hint="eastAsia" w:ascii="黑体" w:hAnsi="黑体" w:eastAsia="黑体" w:cs="黑体"/>
          <w:b w:val="0"/>
          <w:bCs w:val="0"/>
          <w:szCs w:val="21"/>
          <w:lang w:val="en-US" w:eastAsia="zh-CN"/>
        </w:rPr>
        <w:t>相关参数缺省值</w:t>
      </w:r>
      <w:bookmarkEnd w:id="256"/>
    </w:p>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主要化石燃料相关参数缺省值见表C.1。</w:t>
      </w:r>
    </w:p>
    <w:p>
      <w:pPr>
        <w:pStyle w:val="82"/>
        <w:numPr>
          <w:ilvl w:val="0"/>
          <w:numId w:val="0"/>
        </w:numPr>
        <w:shd w:val="clear" w:color="FFFFFF" w:fill="FFFFFF"/>
        <w:spacing w:before="60" w:after="120"/>
        <w:outlineLvl w:val="9"/>
        <w:rPr>
          <w:rFonts w:hint="default" w:ascii="Times New Roman" w:hAnsi="Times New Roman" w:cs="Times New Roman"/>
          <w:b w:val="0"/>
          <w:bCs w:val="0"/>
          <w:lang w:eastAsia="zh-CN"/>
        </w:rPr>
      </w:pPr>
      <w:r>
        <w:rPr>
          <w:rFonts w:hint="default" w:ascii="Times New Roman" w:hAnsi="Times New Roman" w:cs="Times New Roman"/>
          <w:b w:val="0"/>
          <w:bCs w:val="0"/>
          <w:lang w:val="en-US" w:eastAsia="zh-CN"/>
        </w:rPr>
        <w:t>表</w:t>
      </w:r>
      <w:r>
        <w:rPr>
          <w:rFonts w:hint="eastAsia" w:ascii="Times New Roman" w:hAnsi="Times New Roman" w:cs="Times New Roman"/>
          <w:b w:val="0"/>
          <w:bCs w:val="0"/>
          <w:lang w:val="en-US" w:eastAsia="zh-CN"/>
        </w:rPr>
        <w:t>C.1</w:t>
      </w:r>
      <w:r>
        <w:rPr>
          <w:rFonts w:hint="default" w:ascii="Times New Roman" w:hAnsi="Times New Roman" w:cs="Times New Roman"/>
          <w:b w:val="0"/>
          <w:bCs w:val="0"/>
          <w:lang w:val="en-US" w:eastAsia="zh-CN"/>
        </w:rPr>
        <w:t xml:space="preserve"> </w:t>
      </w:r>
      <w:r>
        <w:rPr>
          <w:rFonts w:hint="eastAsia" w:ascii="Times New Roman" w:hAnsi="Times New Roman" w:cs="Times New Roman"/>
          <w:b w:val="0"/>
          <w:bCs w:val="0"/>
          <w:lang w:val="en-US" w:eastAsia="zh-CN"/>
        </w:rPr>
        <w:t>主要</w:t>
      </w:r>
      <w:r>
        <w:rPr>
          <w:rFonts w:hint="default" w:ascii="Times New Roman" w:hAnsi="Times New Roman" w:cs="Times New Roman"/>
          <w:b w:val="0"/>
          <w:bCs w:val="0"/>
          <w:lang w:val="en-US" w:eastAsia="zh-CN"/>
        </w:rPr>
        <w:t>化石燃料相关参数缺省值</w:t>
      </w:r>
    </w:p>
    <w:tbl>
      <w:tblPr>
        <w:tblStyle w:val="31"/>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Layout w:type="fixed"/>
        <w:tblCellMar>
          <w:top w:w="0" w:type="dxa"/>
          <w:left w:w="108" w:type="dxa"/>
          <w:bottom w:w="0" w:type="dxa"/>
          <w:right w:w="108" w:type="dxa"/>
        </w:tblCellMar>
      </w:tblPr>
      <w:tblGrid>
        <w:gridCol w:w="509"/>
        <w:gridCol w:w="1491"/>
        <w:gridCol w:w="881"/>
        <w:gridCol w:w="1232"/>
        <w:gridCol w:w="1114"/>
        <w:gridCol w:w="1236"/>
        <w:gridCol w:w="1411"/>
        <w:gridCol w:w="1613"/>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1054" w:type="pct"/>
            <w:gridSpan w:val="2"/>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燃料品种</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计量</w:t>
            </w:r>
          </w:p>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低位发热量</w:t>
            </w:r>
          </w:p>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（GJ/t，GJ/</w:t>
            </w:r>
          </w:p>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N·m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r>
              <w:rPr>
                <w:rFonts w:hint="default" w:ascii="Times New Roman" w:hAnsi="Times New Roman" w:eastAsia="宋体" w:cs="Times New Roman"/>
                <w:i w:val="0"/>
                <w:iCs w:val="0"/>
                <w:color w:val="000000"/>
                <w:kern w:val="0"/>
                <w:sz w:val="18"/>
                <w:szCs w:val="18"/>
                <w:u w:val="none"/>
                <w:vertAlign w:val="baseline"/>
                <w:lang w:val="en-US" w:eastAsia="zh-CN" w:bidi="ar"/>
              </w:rPr>
              <w:t>）</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单位热值含碳量(tC/GJ)</w:t>
            </w:r>
          </w:p>
        </w:tc>
        <w:tc>
          <w:tcPr>
            <w:tcW w:w="65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燃料碳</w:t>
            </w:r>
          </w:p>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氧化率</w:t>
            </w:r>
          </w:p>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单位热值温室气体排放因子</w:t>
            </w:r>
            <w:r>
              <w:rPr>
                <w:rFonts w:hint="default" w:ascii="Times New Roman" w:hAnsi="Times New Roman" w:eastAsia="宋体" w:cs="Times New Roman"/>
                <w:i w:val="0"/>
                <w:iCs w:val="0"/>
                <w:color w:val="000000"/>
                <w:kern w:val="0"/>
                <w:sz w:val="18"/>
                <w:szCs w:val="18"/>
                <w:u w:val="none"/>
                <w:vertAlign w:val="superscript"/>
                <w:lang w:val="en-US" w:eastAsia="zh-CN" w:bidi="ar"/>
              </w:rPr>
              <w:t>g</w:t>
            </w:r>
            <w:r>
              <w:rPr>
                <w:rFonts w:hint="default" w:ascii="Times New Roman" w:hAnsi="Times New Roman" w:eastAsia="宋体" w:cs="Times New Roman"/>
                <w:i w:val="0"/>
                <w:iCs w:val="0"/>
                <w:color w:val="000000"/>
                <w:kern w:val="0"/>
                <w:sz w:val="18"/>
                <w:szCs w:val="18"/>
                <w:u w:val="none"/>
                <w:vertAlign w:val="baseline"/>
                <w:lang w:val="en-US" w:eastAsia="zh-CN" w:bidi="ar"/>
              </w:rPr>
              <w:t>（</w:t>
            </w:r>
            <w:r>
              <w:rPr>
                <w:rFonts w:hint="default" w:ascii="Times New Roman" w:hAnsi="Times New Roman" w:eastAsia="宋体" w:cs="Times New Roman"/>
                <w:i w:val="0"/>
                <w:iCs w:val="0"/>
                <w:color w:val="000000"/>
                <w:kern w:val="0"/>
                <w:sz w:val="18"/>
                <w:szCs w:val="18"/>
                <w:u w:val="none"/>
                <w:lang w:val="en-US" w:eastAsia="zh-CN" w:bidi="ar"/>
              </w:rPr>
              <w:t>kgC02e/GJ）</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vertAlign w:val="superscript"/>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单位质量温室气体排放因子</w:t>
            </w:r>
            <w:r>
              <w:rPr>
                <w:rFonts w:hint="default" w:ascii="Times New Roman" w:hAnsi="Times New Roman" w:eastAsia="宋体" w:cs="Times New Roman"/>
                <w:i w:val="0"/>
                <w:iCs w:val="0"/>
                <w:color w:val="000000"/>
                <w:kern w:val="0"/>
                <w:sz w:val="18"/>
                <w:szCs w:val="18"/>
                <w:u w:val="none"/>
                <w:vertAlign w:val="superscript"/>
                <w:lang w:val="en-US" w:eastAsia="zh-CN" w:bidi="ar"/>
              </w:rPr>
              <w:t>h</w:t>
            </w:r>
          </w:p>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（kgCO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e/t，kgCO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e/10</w:t>
            </w:r>
            <w:r>
              <w:rPr>
                <w:rFonts w:hint="default" w:ascii="Times New Roman" w:hAnsi="Times New Roman" w:eastAsia="宋体" w:cs="Times New Roman"/>
                <w:i w:val="0"/>
                <w:iCs w:val="0"/>
                <w:color w:val="000000"/>
                <w:kern w:val="0"/>
                <w:sz w:val="18"/>
                <w:szCs w:val="18"/>
                <w:u w:val="none"/>
                <w:vertAlign w:val="superscript"/>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N·m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r>
              <w:rPr>
                <w:rFonts w:hint="default" w:ascii="Times New Roman" w:hAnsi="Times New Roman" w:eastAsia="宋体" w:cs="Times New Roman"/>
                <w:i w:val="0"/>
                <w:iCs w:val="0"/>
                <w:color w:val="000000"/>
                <w:kern w:val="0"/>
                <w:sz w:val="18"/>
                <w:szCs w:val="18"/>
                <w:u w:val="none"/>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restar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固体燃料</w:t>
            </w: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无烟煤</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26.700</w:t>
            </w:r>
            <w:r>
              <w:rPr>
                <w:rFonts w:hint="eastAsia" w:ascii="Times New Roman" w:hAnsi="Times New Roman" w:cs="Times New Roman"/>
                <w:i w:val="0"/>
                <w:iCs w:val="0"/>
                <w:color w:val="000000"/>
                <w:kern w:val="0"/>
                <w:sz w:val="18"/>
                <w:szCs w:val="18"/>
                <w:highlight w:val="none"/>
                <w:u w:val="none"/>
                <w:vertAlign w:val="superscript"/>
                <w:lang w:val="en-US" w:eastAsia="zh-CN" w:bidi="ar"/>
              </w:rPr>
              <w:t>c</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27.4</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restart"/>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kern w:val="0"/>
                <w:sz w:val="18"/>
                <w:szCs w:val="18"/>
                <w:u w:val="none"/>
                <w:vertAlign w:val="superscript"/>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99</w:t>
            </w:r>
            <w:r>
              <w:rPr>
                <w:rFonts w:hint="default" w:ascii="Times New Roman" w:hAnsi="Times New Roman" w:eastAsia="宋体" w:cs="Times New Roman"/>
                <w:i w:val="0"/>
                <w:iCs w:val="0"/>
                <w:color w:val="000000"/>
                <w:kern w:val="0"/>
                <w:sz w:val="18"/>
                <w:szCs w:val="18"/>
                <w:u w:val="none"/>
                <w:vertAlign w:val="superscript"/>
                <w:lang w:val="en-US" w:eastAsia="zh-CN" w:bidi="ar"/>
              </w:rPr>
              <w:t>b</w:t>
            </w:r>
          </w:p>
          <w:p>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vertAlign w:val="baseline"/>
                <w:lang w:val="en-US" w:eastAsia="zh-CN" w:bidi="ar"/>
              </w:rPr>
              <w:t>（</w:t>
            </w:r>
            <w:r>
              <w:rPr>
                <w:rFonts w:hint="default" w:ascii="Times New Roman" w:hAnsi="Times New Roman" w:eastAsia="宋体" w:cs="Times New Roman"/>
                <w:i w:val="0"/>
                <w:iCs w:val="0"/>
                <w:color w:val="000000"/>
                <w:kern w:val="0"/>
                <w:sz w:val="18"/>
                <w:szCs w:val="18"/>
                <w:u w:val="none"/>
                <w:lang w:val="en-US" w:eastAsia="zh-CN" w:bidi="ar"/>
              </w:rPr>
              <w:t>水泥窑）</w:t>
            </w:r>
          </w:p>
          <w:p>
            <w:pPr>
              <w:jc w:val="center"/>
              <w:rPr>
                <w:rFonts w:hint="default" w:ascii="Times New Roman" w:hAnsi="Times New Roman" w:eastAsia="宋体" w:cs="Times New Roman"/>
                <w:i w:val="0"/>
                <w:iCs w:val="0"/>
                <w:color w:val="000000"/>
                <w:kern w:val="0"/>
                <w:sz w:val="18"/>
                <w:szCs w:val="18"/>
                <w:u w:val="none"/>
                <w:vertAlign w:val="superscript"/>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95</w:t>
            </w:r>
            <w:r>
              <w:rPr>
                <w:rFonts w:hint="default" w:ascii="Times New Roman" w:hAnsi="Times New Roman" w:eastAsia="宋体" w:cs="Times New Roman"/>
                <w:i w:val="0"/>
                <w:iCs w:val="0"/>
                <w:color w:val="000000"/>
                <w:kern w:val="0"/>
                <w:sz w:val="18"/>
                <w:szCs w:val="18"/>
                <w:u w:val="none"/>
                <w:vertAlign w:val="superscript"/>
                <w:lang w:val="en-US" w:eastAsia="zh-CN" w:bidi="ar"/>
              </w:rPr>
              <w:t>f</w:t>
            </w:r>
          </w:p>
          <w:p>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（工业锅炉）</w:t>
            </w:r>
          </w:p>
          <w:p>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91</w:t>
            </w:r>
            <w:r>
              <w:rPr>
                <w:rFonts w:hint="default" w:ascii="Times New Roman" w:hAnsi="Times New Roman" w:eastAsia="宋体" w:cs="Times New Roman"/>
                <w:i w:val="0"/>
                <w:iCs w:val="0"/>
                <w:color w:val="000000"/>
                <w:kern w:val="0"/>
                <w:sz w:val="18"/>
                <w:szCs w:val="18"/>
                <w:u w:val="none"/>
                <w:vertAlign w:val="superscript"/>
                <w:lang w:val="en-US" w:eastAsia="zh-CN" w:bidi="ar"/>
              </w:rPr>
              <w:t>f</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（其他燃</w:t>
            </w:r>
          </w:p>
          <w:p>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烧设备）</w:t>
            </w: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99.8994</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2667.3140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水泥生产用烟煤</w:t>
            </w:r>
          </w:p>
        </w:tc>
        <w:tc>
          <w:tcPr>
            <w:tcW w:w="464" w:type="pct"/>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25.909</w:t>
            </w:r>
            <w:r>
              <w:rPr>
                <w:rFonts w:hint="default" w:ascii="Times New Roman" w:hAnsi="Times New Roman" w:eastAsia="宋体" w:cs="Times New Roman"/>
                <w:i w:val="0"/>
                <w:iCs w:val="0"/>
                <w:color w:val="000000"/>
                <w:kern w:val="0"/>
                <w:sz w:val="18"/>
                <w:szCs w:val="18"/>
                <w:u w:val="none"/>
                <w:vertAlign w:val="superscript"/>
                <w:lang w:val="en-US" w:eastAsia="zh-CN" w:bidi="ar"/>
              </w:rPr>
              <w:t>f</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26.1</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95.1804</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2466.0290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褐煤</w:t>
            </w:r>
          </w:p>
        </w:tc>
        <w:tc>
          <w:tcPr>
            <w:tcW w:w="464" w:type="pct"/>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11.9</w:t>
            </w:r>
            <w:r>
              <w:rPr>
                <w:rFonts w:hint="eastAsia" w:ascii="Times New Roman" w:hAnsi="Times New Roman" w:cs="Times New Roman"/>
                <w:i w:val="0"/>
                <w:iCs w:val="0"/>
                <w:color w:val="000000"/>
                <w:kern w:val="0"/>
                <w:sz w:val="18"/>
                <w:szCs w:val="18"/>
                <w:highlight w:val="none"/>
                <w:u w:val="none"/>
                <w:vertAlign w:val="superscript"/>
                <w:lang w:val="en-US" w:eastAsia="zh-CN" w:bidi="ar"/>
              </w:rPr>
              <w:t>c</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28</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102.0774</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1214.7211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型煤</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17.460</w:t>
            </w:r>
            <w:r>
              <w:rPr>
                <w:rFonts w:hint="default" w:ascii="Times New Roman" w:hAnsi="Times New Roman" w:eastAsia="宋体" w:cs="Times New Roman"/>
                <w:i w:val="0"/>
                <w:iCs w:val="0"/>
                <w:color w:val="000000"/>
                <w:kern w:val="0"/>
                <w:sz w:val="18"/>
                <w:szCs w:val="18"/>
                <w:u w:val="none"/>
                <w:vertAlign w:val="superscript"/>
                <w:lang w:val="en-US" w:eastAsia="zh-CN" w:bidi="ar"/>
              </w:rPr>
              <w:t>d</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33.6</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122.2602</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2134.6631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洗精煤</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26.344</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25.41</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92.6757</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2441.4486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其他煤制品</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17.460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e</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33.6</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122.4054</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2137.1983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焦炭</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28.435</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29.5</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107.1402</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3046.5316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石油焦</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32.5</w:t>
            </w:r>
            <w:r>
              <w:rPr>
                <w:rFonts w:hint="eastAsia" w:ascii="Times New Roman" w:hAnsi="Times New Roman" w:cs="Times New Roman"/>
                <w:i w:val="0"/>
                <w:iCs w:val="0"/>
                <w:color w:val="000000"/>
                <w:kern w:val="0"/>
                <w:sz w:val="18"/>
                <w:szCs w:val="18"/>
                <w:highlight w:val="none"/>
                <w:u w:val="none"/>
                <w:vertAlign w:val="superscript"/>
                <w:lang w:val="en-US" w:eastAsia="zh-CN" w:bidi="ar"/>
              </w:rPr>
              <w:t>c</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27.50</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100.0725</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3252.3563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restar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液体</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燃料</w:t>
            </w: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原油</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41.816</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20.1</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restar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98</w:t>
            </w:r>
            <w:r>
              <w:rPr>
                <w:rFonts w:hint="default" w:ascii="Times New Roman" w:hAnsi="Times New Roman" w:eastAsia="宋体" w:cs="Times New Roman"/>
                <w:i w:val="0"/>
                <w:iCs w:val="0"/>
                <w:color w:val="000000"/>
                <w:kern w:val="0"/>
                <w:sz w:val="18"/>
                <w:szCs w:val="18"/>
                <w:u w:val="none"/>
                <w:vertAlign w:val="superscript"/>
                <w:lang w:val="en-US" w:eastAsia="zh-CN" w:bidi="ar"/>
              </w:rPr>
              <w:t>b</w:t>
            </w: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72.4016</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3027.5453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燃料油</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41.816</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21.1</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76.0668</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3180.8093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汽油</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43.070</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18.9</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68.1615</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2935.7158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汽油-移动</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43.07</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0.0189</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69.08751</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2975.5991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柴油-固定</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42.652</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0.0202</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72.8328</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3106.4646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柴油-移动</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42.652</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0.0202</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73.75881</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3145.9608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柴油-矿山</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43.33</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0.0202</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73.75881</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3195.9692</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汽油-矿山</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44.8</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0.0189</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69.08751</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3095.1204</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煤油</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43.070</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19.6</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70.6768</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3044.0498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液化天然气</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51.498</w:t>
            </w:r>
            <w:r>
              <w:rPr>
                <w:rFonts w:hint="default" w:ascii="Times New Roman" w:hAnsi="Times New Roman" w:eastAsia="宋体" w:cs="Times New Roman"/>
                <w:i w:val="0"/>
                <w:iCs w:val="0"/>
                <w:color w:val="000000"/>
                <w:kern w:val="0"/>
                <w:sz w:val="18"/>
                <w:szCs w:val="18"/>
                <w:u w:val="none"/>
                <w:vertAlign w:val="superscript"/>
                <w:lang w:val="en-US" w:eastAsia="zh-CN" w:bidi="ar"/>
              </w:rPr>
              <w:t>d</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15.3</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62.0528</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3195.5951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液化石油气</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50.179</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0.0172</w:t>
            </w:r>
          </w:p>
        </w:tc>
        <w:tc>
          <w:tcPr>
            <w:tcW w:w="651" w:type="pct"/>
            <w:vMerge w:val="continue"/>
            <w:tcBorders>
              <w:tl2br w:val="nil"/>
              <w:tr2bl w:val="nil"/>
            </w:tcBorders>
            <w:shd w:val="clear" w:color="auto" w:fill="auto"/>
            <w:noWrap/>
            <w:vAlign w:val="center"/>
          </w:tcPr>
          <w:p>
            <w:pPr>
              <w:widowControl/>
              <w:jc w:val="center"/>
              <w:textAlignment w:val="bottom"/>
              <w:rPr>
                <w:rFonts w:hint="default" w:ascii="Times New Roman" w:hAnsi="Times New Roman" w:eastAsia="宋体" w:cs="Times New Roman"/>
                <w:i w:val="0"/>
                <w:iCs w:val="0"/>
                <w:color w:val="000000"/>
                <w:kern w:val="0"/>
                <w:sz w:val="18"/>
                <w:szCs w:val="18"/>
                <w:highlight w:val="none"/>
                <w:u w:val="none"/>
                <w:lang w:bidi="ar"/>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61.8605</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3104.0980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液化石油气</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50.179</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0.0172</w:t>
            </w:r>
          </w:p>
        </w:tc>
        <w:tc>
          <w:tcPr>
            <w:tcW w:w="651" w:type="pct"/>
            <w:vMerge w:val="continue"/>
            <w:tcBorders>
              <w:tl2br w:val="nil"/>
              <w:tr2bl w:val="nil"/>
            </w:tcBorders>
            <w:shd w:val="clear" w:color="auto" w:fill="auto"/>
            <w:noWrap/>
            <w:vAlign w:val="center"/>
          </w:tcPr>
          <w:p>
            <w:pPr>
              <w:widowControl/>
              <w:jc w:val="center"/>
              <w:textAlignment w:val="bottom"/>
              <w:rPr>
                <w:rFonts w:hint="default" w:ascii="Times New Roman" w:hAnsi="Times New Roman" w:eastAsia="宋体" w:cs="Times New Roman"/>
                <w:i w:val="0"/>
                <w:iCs w:val="0"/>
                <w:color w:val="000000"/>
                <w:kern w:val="0"/>
                <w:sz w:val="18"/>
                <w:szCs w:val="18"/>
                <w:highlight w:val="none"/>
                <w:u w:val="none"/>
                <w:lang w:bidi="ar"/>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63.5897</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highlight w:val="none"/>
                <w:u w:val="none"/>
                <w:lang w:bidi="ar"/>
              </w:rPr>
            </w:pPr>
            <w:r>
              <w:rPr>
                <w:rFonts w:hint="default" w:ascii="Times New Roman" w:hAnsi="Times New Roman" w:eastAsia="宋体" w:cs="Times New Roman"/>
                <w:i w:val="0"/>
                <w:iCs w:val="0"/>
                <w:color w:val="000000"/>
                <w:kern w:val="0"/>
                <w:sz w:val="18"/>
                <w:szCs w:val="18"/>
                <w:highlight w:val="none"/>
                <w:u w:val="none"/>
                <w:lang w:val="en-US" w:eastAsia="zh-CN" w:bidi="ar"/>
              </w:rPr>
              <w:t>3190.8676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焦油</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33.453</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22.0</w:t>
            </w:r>
            <w:r>
              <w:rPr>
                <w:rFonts w:hint="eastAsia" w:ascii="Times New Roman" w:hAnsi="Times New Roman" w:cs="Times New Roman"/>
                <w:i w:val="0"/>
                <w:iCs w:val="0"/>
                <w:color w:val="000000"/>
                <w:kern w:val="0"/>
                <w:sz w:val="18"/>
                <w:szCs w:val="18"/>
                <w:highlight w:val="none"/>
                <w:u w:val="none"/>
                <w:vertAlign w:val="superscript"/>
                <w:lang w:val="en-US" w:eastAsia="zh-CN" w:bidi="ar"/>
              </w:rPr>
              <w:t>c</w:t>
            </w:r>
            <w:r>
              <w:rPr>
                <w:rFonts w:hint="default" w:ascii="Times New Roman" w:hAnsi="Times New Roman" w:eastAsia="宋体" w:cs="Times New Roman"/>
                <w:i w:val="0"/>
                <w:iCs w:val="0"/>
                <w:color w:val="000000"/>
                <w:kern w:val="0"/>
                <w:sz w:val="18"/>
                <w:szCs w:val="18"/>
                <w:highlight w:val="none"/>
                <w:u w:val="none"/>
                <w:lang w:val="en-US" w:eastAsia="zh-CN" w:bidi="ar"/>
              </w:rPr>
              <w:t>×10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highlight w:val="none"/>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79.4907</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2659.2024</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炼厂干气</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t</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45.998</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18.2</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66.1212</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3041.4430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restart"/>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气体</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燃料</w:t>
            </w: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天然气-固定</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N·m³</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389.31</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0.01532</w:t>
            </w:r>
          </w:p>
        </w:tc>
        <w:tc>
          <w:tcPr>
            <w:tcW w:w="651" w:type="pct"/>
            <w:vMerge w:val="restart"/>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98</w:t>
            </w:r>
            <w:r>
              <w:rPr>
                <w:rFonts w:hint="default" w:ascii="Times New Roman" w:hAnsi="Times New Roman" w:eastAsia="宋体" w:cs="Times New Roman"/>
                <w:i w:val="0"/>
                <w:iCs w:val="0"/>
                <w:color w:val="000000"/>
                <w:kern w:val="0"/>
                <w:sz w:val="18"/>
                <w:szCs w:val="18"/>
                <w:u w:val="none"/>
                <w:vertAlign w:val="superscript"/>
                <w:lang w:val="en-US" w:eastAsia="zh-CN" w:bidi="ar"/>
              </w:rPr>
              <w:t>b</w:t>
            </w: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55.6668</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21671.6419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天然气-移动</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4</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389.31</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0.01532</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58.9974</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22968.2778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高炉煤气</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4</w:t>
            </w:r>
            <w:r>
              <w:rPr>
                <w:rFonts w:hint="default" w:ascii="Times New Roman" w:hAnsi="Times New Roman" w:eastAsia="宋体" w:cs="Times New Roman"/>
                <w:i w:val="0"/>
                <w:iCs w:val="0"/>
                <w:color w:val="000000"/>
                <w:kern w:val="0"/>
                <w:sz w:val="18"/>
                <w:szCs w:val="18"/>
                <w:highlight w:val="none"/>
                <w:u w:val="none"/>
                <w:lang w:val="en-US" w:eastAsia="zh-CN" w:bidi="ar"/>
              </w:rPr>
              <w:t>N·m³</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33.00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e</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70.80</w:t>
            </w:r>
            <w:r>
              <w:rPr>
                <w:rFonts w:hint="eastAsia" w:ascii="Times New Roman" w:hAnsi="Times New Roman" w:cs="Times New Roman"/>
                <w:i w:val="0"/>
                <w:iCs w:val="0"/>
                <w:color w:val="000000"/>
                <w:kern w:val="0"/>
                <w:sz w:val="18"/>
                <w:szCs w:val="18"/>
                <w:highlight w:val="none"/>
                <w:u w:val="none"/>
                <w:vertAlign w:val="superscript"/>
                <w:lang w:val="en-US" w:eastAsia="zh-CN" w:bidi="ar"/>
              </w:rPr>
              <w:t>c</w:t>
            </w:r>
            <w:r>
              <w:rPr>
                <w:rFonts w:hint="default" w:ascii="Times New Roman" w:hAnsi="Times New Roman" w:eastAsia="宋体" w:cs="Times New Roman"/>
                <w:i w:val="0"/>
                <w:iCs w:val="0"/>
                <w:color w:val="000000"/>
                <w:kern w:val="0"/>
                <w:sz w:val="18"/>
                <w:szCs w:val="18"/>
                <w:highlight w:val="none"/>
                <w:u w:val="none"/>
                <w:lang w:val="en-US" w:eastAsia="zh-CN" w:bidi="ar"/>
              </w:rPr>
              <w:t>×10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highlight w:val="none"/>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257.0592</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8482.9536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转炉煤气</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4</w:t>
            </w:r>
            <w:r>
              <w:rPr>
                <w:rFonts w:hint="default" w:ascii="Times New Roman" w:hAnsi="Times New Roman" w:eastAsia="宋体" w:cs="Times New Roman"/>
                <w:i w:val="0"/>
                <w:iCs w:val="0"/>
                <w:color w:val="000000"/>
                <w:kern w:val="0"/>
                <w:sz w:val="18"/>
                <w:szCs w:val="18"/>
                <w:highlight w:val="none"/>
                <w:u w:val="none"/>
                <w:lang w:val="en-US" w:eastAsia="zh-CN" w:bidi="ar"/>
              </w:rPr>
              <w:t>N·m³</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84.00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e</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49.60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d</w:t>
            </w:r>
            <w:r>
              <w:rPr>
                <w:rFonts w:hint="default" w:ascii="Times New Roman" w:hAnsi="Times New Roman" w:eastAsia="宋体" w:cs="Times New Roman"/>
                <w:i w:val="0"/>
                <w:iCs w:val="0"/>
                <w:color w:val="000000"/>
                <w:kern w:val="0"/>
                <w:sz w:val="18"/>
                <w:szCs w:val="18"/>
                <w:highlight w:val="none"/>
                <w:u w:val="none"/>
                <w:lang w:val="en-US" w:eastAsia="zh-CN" w:bidi="ar"/>
              </w:rPr>
              <w:t>×10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highlight w:val="none"/>
                <w:u w:val="none"/>
                <w:lang w:val="en-US"/>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180.1032</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15128.6688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00" w:hRule="atLeast"/>
          <w:tblHeader/>
          <w:jc w:val="center"/>
        </w:trPr>
        <w:tc>
          <w:tcPr>
            <w:tcW w:w="268"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8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焦炉煤气</w:t>
            </w:r>
          </w:p>
        </w:tc>
        <w:tc>
          <w:tcPr>
            <w:tcW w:w="46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N·m³</w:t>
            </w:r>
          </w:p>
        </w:tc>
        <w:tc>
          <w:tcPr>
            <w:tcW w:w="64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179.81</w:t>
            </w:r>
            <w:r>
              <w:rPr>
                <w:rFonts w:hint="default" w:ascii="Times New Roman" w:hAnsi="Times New Roman" w:eastAsia="宋体" w:cs="Times New Roman"/>
                <w:i w:val="0"/>
                <w:iCs w:val="0"/>
                <w:color w:val="000000"/>
                <w:kern w:val="0"/>
                <w:sz w:val="18"/>
                <w:szCs w:val="18"/>
                <w:u w:val="none"/>
                <w:vertAlign w:val="superscript"/>
                <w:lang w:val="en-US" w:eastAsia="zh-CN" w:bidi="ar"/>
              </w:rPr>
              <w:t>a</w:t>
            </w:r>
          </w:p>
        </w:tc>
        <w:tc>
          <w:tcPr>
            <w:tcW w:w="58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13.58</w:t>
            </w:r>
            <w:r>
              <w:rPr>
                <w:rFonts w:hint="default" w:ascii="Times New Roman" w:hAnsi="Times New Roman" w:eastAsia="宋体" w:cs="Times New Roman"/>
                <w:i w:val="0"/>
                <w:iCs w:val="0"/>
                <w:color w:val="000000"/>
                <w:kern w:val="0"/>
                <w:sz w:val="18"/>
                <w:szCs w:val="18"/>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×10</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c>
          <w:tcPr>
            <w:tcW w:w="651" w:type="pct"/>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74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43.9782</w:t>
            </w:r>
          </w:p>
        </w:tc>
        <w:tc>
          <w:tcPr>
            <w:tcW w:w="85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7645.7860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155" w:hRule="atLeast"/>
          <w:tblHeader/>
          <w:jc w:val="center"/>
        </w:trPr>
        <w:tc>
          <w:tcPr>
            <w:tcW w:w="5000" w:type="pct"/>
            <w:gridSpan w:val="8"/>
            <w:tcBorders>
              <w:tl2br w:val="nil"/>
              <w:tr2bl w:val="nil"/>
            </w:tcBorders>
            <w:shd w:val="clear" w:color="auto" w:fill="auto"/>
            <w:noWrap/>
            <w:vAlign w:val="center"/>
          </w:tcPr>
          <w:p>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24"/>
                <w:szCs w:val="24"/>
                <w:u w:val="none"/>
                <w:vertAlign w:val="superscript"/>
                <w:lang w:val="en-US" w:eastAsia="zh-CN" w:bidi="ar"/>
              </w:rPr>
              <w:t>a</w:t>
            </w:r>
            <w:r>
              <w:rPr>
                <w:rFonts w:hint="default" w:ascii="Times New Roman" w:hAnsi="Times New Roman" w:eastAsia="宋体" w:cs="Times New Roman"/>
                <w:i w:val="0"/>
                <w:iCs w:val="0"/>
                <w:color w:val="000000"/>
                <w:kern w:val="0"/>
                <w:sz w:val="24"/>
                <w:szCs w:val="24"/>
                <w:u w:val="none"/>
                <w:vertAlign w:val="baseline"/>
                <w:lang w:val="en-US" w:eastAsia="zh-CN" w:bidi="ar"/>
              </w:rPr>
              <w:t xml:space="preserve"> </w:t>
            </w:r>
            <w:r>
              <w:rPr>
                <w:rFonts w:hint="default" w:ascii="Times New Roman" w:hAnsi="Times New Roman" w:eastAsia="宋体" w:cs="Times New Roman"/>
                <w:i w:val="0"/>
                <w:iCs w:val="0"/>
                <w:color w:val="000000"/>
                <w:kern w:val="0"/>
                <w:sz w:val="18"/>
                <w:szCs w:val="18"/>
                <w:u w:val="none"/>
                <w:lang w:val="en-US" w:eastAsia="zh-CN" w:bidi="ar"/>
              </w:rPr>
              <w:t>数据取值来源为《中国能源统计年鉴2021》。</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24"/>
                <w:szCs w:val="24"/>
                <w:u w:val="none"/>
                <w:vertAlign w:val="superscript"/>
                <w:lang w:val="en-US" w:eastAsia="zh-CN" w:bidi="ar"/>
              </w:rPr>
              <w:t>b</w:t>
            </w:r>
            <w:r>
              <w:rPr>
                <w:rFonts w:hint="default" w:ascii="Times New Roman" w:hAnsi="Times New Roman" w:eastAsia="宋体" w:cs="Times New Roman"/>
                <w:i w:val="0"/>
                <w:iCs w:val="0"/>
                <w:color w:val="000000"/>
                <w:kern w:val="0"/>
                <w:sz w:val="18"/>
                <w:szCs w:val="18"/>
                <w:u w:val="none"/>
                <w:lang w:val="en-US" w:eastAsia="zh-CN" w:bidi="ar"/>
              </w:rPr>
              <w:t xml:space="preserve"> 数据取值来源为《省级温室气体清单编制指南）（试行）》。</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24"/>
                <w:szCs w:val="24"/>
                <w:u w:val="none"/>
                <w:vertAlign w:val="superscript"/>
                <w:lang w:val="en-US" w:eastAsia="zh-CN" w:bidi="ar"/>
              </w:rPr>
              <w:t>c</w:t>
            </w:r>
            <w:r>
              <w:rPr>
                <w:rFonts w:hint="default" w:ascii="Times New Roman" w:hAnsi="Times New Roman" w:eastAsia="宋体" w:cs="Times New Roman"/>
                <w:i w:val="0"/>
                <w:iCs w:val="0"/>
                <w:color w:val="000000"/>
                <w:kern w:val="0"/>
                <w:sz w:val="18"/>
                <w:szCs w:val="18"/>
                <w:u w:val="none"/>
                <w:lang w:val="en-US" w:eastAsia="zh-CN" w:bidi="ar"/>
              </w:rPr>
              <w:t xml:space="preserve"> 数据取值来源为《2006年IPCC国家温室气体清单指南》及2019年修订版。</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24"/>
                <w:szCs w:val="24"/>
                <w:u w:val="none"/>
                <w:vertAlign w:val="superscript"/>
                <w:lang w:val="en-US" w:eastAsia="zh-CN" w:bidi="ar"/>
              </w:rPr>
              <w:t>d</w:t>
            </w:r>
            <w:r>
              <w:rPr>
                <w:rFonts w:hint="default" w:ascii="Times New Roman" w:hAnsi="Times New Roman" w:eastAsia="宋体" w:cs="Times New Roman"/>
                <w:i w:val="0"/>
                <w:iCs w:val="0"/>
                <w:color w:val="000000"/>
                <w:kern w:val="0"/>
                <w:sz w:val="18"/>
                <w:szCs w:val="18"/>
                <w:u w:val="none"/>
                <w:lang w:val="en-US" w:eastAsia="zh-CN" w:bidi="ar"/>
              </w:rPr>
              <w:t xml:space="preserve"> 数据取值来源为《中国温室气体清单研究》。</w:t>
            </w:r>
          </w:p>
          <w:p>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24"/>
                <w:szCs w:val="24"/>
                <w:u w:val="none"/>
                <w:vertAlign w:val="superscript"/>
                <w:lang w:val="en-US" w:eastAsia="zh-CN" w:bidi="ar"/>
              </w:rPr>
              <w:t>e</w:t>
            </w:r>
            <w:r>
              <w:rPr>
                <w:rFonts w:hint="default" w:ascii="Times New Roman" w:hAnsi="Times New Roman" w:eastAsia="宋体" w:cs="Times New Roman"/>
                <w:i w:val="0"/>
                <w:iCs w:val="0"/>
                <w:color w:val="000000"/>
                <w:kern w:val="0"/>
                <w:sz w:val="18"/>
                <w:szCs w:val="18"/>
                <w:u w:val="none"/>
                <w:lang w:val="en-US" w:eastAsia="zh-CN" w:bidi="ar"/>
              </w:rPr>
              <w:t xml:space="preserve"> 数据取值来源为CB/T 2589。</w:t>
            </w:r>
          </w:p>
          <w:p>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24"/>
                <w:szCs w:val="24"/>
                <w:u w:val="none"/>
                <w:vertAlign w:val="superscript"/>
                <w:lang w:val="en-US" w:eastAsia="zh-CN" w:bidi="ar"/>
              </w:rPr>
              <w:t>f</w:t>
            </w:r>
            <w:r>
              <w:rPr>
                <w:rFonts w:hint="default" w:ascii="Times New Roman" w:hAnsi="Times New Roman" w:eastAsia="宋体" w:cs="Times New Roman"/>
                <w:i w:val="0"/>
                <w:iCs w:val="0"/>
                <w:color w:val="000000"/>
                <w:kern w:val="0"/>
                <w:sz w:val="18"/>
                <w:szCs w:val="18"/>
                <w:u w:val="none"/>
                <w:lang w:val="en-US" w:eastAsia="zh-CN" w:bidi="ar"/>
              </w:rPr>
              <w:t xml:space="preserve"> 数据取值来源为行业经验数值。</w:t>
            </w:r>
          </w:p>
          <w:p>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24"/>
                <w:szCs w:val="24"/>
                <w:u w:val="none"/>
                <w:vertAlign w:val="superscript"/>
                <w:lang w:val="en-US" w:eastAsia="zh-CN" w:bidi="ar"/>
              </w:rPr>
              <w:t>g</w:t>
            </w:r>
            <w:r>
              <w:rPr>
                <w:rFonts w:hint="default" w:ascii="Times New Roman" w:hAnsi="Times New Roman" w:eastAsia="宋体" w:cs="Times New Roman"/>
                <w:i w:val="0"/>
                <w:iCs w:val="0"/>
                <w:color w:val="000000"/>
                <w:kern w:val="0"/>
                <w:sz w:val="18"/>
                <w:szCs w:val="18"/>
                <w:u w:val="none"/>
                <w:lang w:val="en-US" w:eastAsia="zh-CN" w:bidi="ar"/>
              </w:rPr>
              <w:t xml:space="preserve"> 单位热值温室气体排放因子=单位热值含碳量×燃料碳氧化率+CH</w:t>
            </w:r>
            <w:r>
              <w:rPr>
                <w:rFonts w:hint="default" w:ascii="Times New Roman" w:hAnsi="Times New Roman" w:eastAsia="宋体" w:cs="Times New Roman"/>
                <w:i w:val="0"/>
                <w:iCs w:val="0"/>
                <w:color w:val="000000"/>
                <w:kern w:val="0"/>
                <w:sz w:val="18"/>
                <w:szCs w:val="18"/>
                <w:u w:val="none"/>
                <w:vertAlign w:val="subscript"/>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单位热值排放因子×GWP</w:t>
            </w:r>
            <w:r>
              <w:rPr>
                <w:rFonts w:hint="default" w:ascii="Times New Roman" w:hAnsi="Times New Roman" w:eastAsia="宋体" w:cs="Times New Roman"/>
                <w:i w:val="0"/>
                <w:iCs w:val="0"/>
                <w:color w:val="000000"/>
                <w:kern w:val="0"/>
                <w:sz w:val="18"/>
                <w:szCs w:val="18"/>
                <w:u w:val="none"/>
                <w:vertAlign w:val="subscript"/>
                <w:lang w:val="en-US" w:eastAsia="zh-CN" w:bidi="ar"/>
              </w:rPr>
              <w:t>CH4</w:t>
            </w:r>
            <w:r>
              <w:rPr>
                <w:rFonts w:hint="default" w:ascii="Times New Roman" w:hAnsi="Times New Roman" w:eastAsia="宋体" w:cs="Times New Roman"/>
                <w:i w:val="0"/>
                <w:iCs w:val="0"/>
                <w:color w:val="000000"/>
                <w:kern w:val="0"/>
                <w:sz w:val="18"/>
                <w:szCs w:val="18"/>
                <w:u w:val="none"/>
                <w:vertAlign w:val="baseline"/>
                <w:lang w:val="en-US" w:eastAsia="zh-CN" w:bidi="ar"/>
              </w:rPr>
              <w:t>+</w:t>
            </w:r>
            <w:r>
              <w:rPr>
                <w:rFonts w:hint="default" w:ascii="Times New Roman" w:hAnsi="Times New Roman" w:eastAsia="宋体" w:cs="Times New Roman"/>
                <w:i w:val="0"/>
                <w:iCs w:val="0"/>
                <w:color w:val="000000"/>
                <w:kern w:val="0"/>
                <w:sz w:val="18"/>
                <w:szCs w:val="18"/>
                <w:u w:val="none"/>
                <w:lang w:val="en-US" w:eastAsia="zh-CN" w:bidi="ar"/>
              </w:rPr>
              <w:t>CH</w:t>
            </w:r>
            <w:r>
              <w:rPr>
                <w:rFonts w:hint="default" w:ascii="Times New Roman" w:hAnsi="Times New Roman" w:eastAsia="宋体" w:cs="Times New Roman"/>
                <w:i w:val="0"/>
                <w:iCs w:val="0"/>
                <w:color w:val="000000"/>
                <w:kern w:val="0"/>
                <w:sz w:val="18"/>
                <w:szCs w:val="18"/>
                <w:u w:val="none"/>
                <w:vertAlign w:val="subscript"/>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单位热值排放因子×GWP</w:t>
            </w:r>
            <w:r>
              <w:rPr>
                <w:rFonts w:hint="default" w:ascii="Times New Roman" w:hAnsi="Times New Roman" w:eastAsia="宋体" w:cs="Times New Roman"/>
                <w:i w:val="0"/>
                <w:iCs w:val="0"/>
                <w:color w:val="000000"/>
                <w:kern w:val="0"/>
                <w:sz w:val="18"/>
                <w:szCs w:val="18"/>
                <w:u w:val="none"/>
                <w:vertAlign w:val="subscript"/>
                <w:lang w:val="en-US" w:eastAsia="zh-CN" w:bidi="ar"/>
              </w:rPr>
              <w:t>CH4</w:t>
            </w:r>
            <w:r>
              <w:rPr>
                <w:rFonts w:hint="default" w:ascii="Times New Roman" w:hAnsi="Times New Roman" w:eastAsia="宋体" w:cs="Times New Roman"/>
                <w:i w:val="0"/>
                <w:iCs w:val="0"/>
                <w:color w:val="000000"/>
                <w:kern w:val="0"/>
                <w:sz w:val="18"/>
                <w:szCs w:val="18"/>
                <w:u w:val="none"/>
                <w:vertAlign w:val="baseline"/>
                <w:lang w:val="en-US" w:eastAsia="zh-CN" w:bidi="ar"/>
              </w:rPr>
              <w:t>；CH</w:t>
            </w:r>
            <w:r>
              <w:rPr>
                <w:rFonts w:hint="default" w:ascii="Times New Roman" w:hAnsi="Times New Roman" w:eastAsia="宋体" w:cs="Times New Roman"/>
                <w:i w:val="0"/>
                <w:iCs w:val="0"/>
                <w:color w:val="000000"/>
                <w:kern w:val="0"/>
                <w:sz w:val="18"/>
                <w:szCs w:val="18"/>
                <w:u w:val="none"/>
                <w:vertAlign w:val="subscript"/>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单位热值排放因子和N</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O单位热值排放因子取值来源为《2006年IPCC国家温室气体清单指南》及2019年修订版。</w:t>
            </w:r>
          </w:p>
          <w:p>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24"/>
                <w:szCs w:val="24"/>
                <w:u w:val="none"/>
                <w:vertAlign w:val="superscript"/>
                <w:lang w:val="en-US" w:eastAsia="zh-CN" w:bidi="ar"/>
              </w:rPr>
              <w:t>h</w:t>
            </w:r>
            <w:r>
              <w:rPr>
                <w:rFonts w:hint="default" w:ascii="Times New Roman" w:hAnsi="Times New Roman" w:eastAsia="宋体" w:cs="Times New Roman"/>
                <w:i w:val="0"/>
                <w:iCs w:val="0"/>
                <w:color w:val="000000"/>
                <w:kern w:val="0"/>
                <w:sz w:val="18"/>
                <w:szCs w:val="18"/>
                <w:u w:val="none"/>
                <w:lang w:val="en-US" w:eastAsia="zh-CN" w:bidi="ar"/>
              </w:rPr>
              <w:t xml:space="preserve"> 单位质量温室气体排放因子=低位发热量×单位热值温室气体排放因子。</w:t>
            </w:r>
          </w:p>
        </w:tc>
      </w:tr>
    </w:tbl>
    <w:p>
      <w:pPr>
        <w:pStyle w:val="62"/>
        <w:ind w:firstLine="420"/>
        <w:rPr>
          <w:rFonts w:hint="default" w:ascii="Times New Roman" w:hAnsi="Times New Roman" w:cs="Times New Roman"/>
        </w:rPr>
      </w:pPr>
    </w:p>
    <w:p>
      <w:pPr>
        <w:pStyle w:val="62"/>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lang w:eastAsia="zh-CN"/>
        </w:rPr>
      </w:pPr>
    </w:p>
    <w:p>
      <w:pPr>
        <w:spacing w:line="192" w:lineRule="exact"/>
        <w:rPr>
          <w:rFonts w:hint="eastAsia" w:ascii="黑体" w:hAnsi="黑体" w:eastAsia="黑体" w:cs="黑体"/>
          <w:b w:val="0"/>
          <w:bCs w:val="0"/>
        </w:rPr>
      </w:pPr>
    </w:p>
    <w:p>
      <w:pPr>
        <w:keepNext/>
        <w:keepLines/>
        <w:adjustRightInd/>
        <w:spacing w:before="120" w:beforeLines="50" w:after="120" w:afterLines="50" w:line="360" w:lineRule="auto"/>
        <w:jc w:val="center"/>
        <w:outlineLvl w:val="0"/>
        <w:rPr>
          <w:rFonts w:hint="default" w:ascii="Times New Roman" w:hAnsi="Times New Roman" w:eastAsia="黑体" w:cs="Times New Roman"/>
          <w:b/>
          <w:bCs/>
          <w:kern w:val="44"/>
          <w:lang w:val="en-US" w:eastAsia="zh-CN"/>
        </w:rPr>
      </w:pPr>
      <w:bookmarkStart w:id="257" w:name="_Toc7315"/>
      <w:r>
        <w:rPr>
          <w:rFonts w:hint="default" w:ascii="Times New Roman" w:hAnsi="Times New Roman" w:eastAsia="黑体" w:cs="Times New Roman"/>
          <w:b/>
          <w:bCs/>
          <w:kern w:val="44"/>
          <w:lang w:val="en-US" w:eastAsia="zh-CN"/>
        </w:rPr>
        <w:t xml:space="preserve">附录D </w:t>
      </w:r>
    </w:p>
    <w:p>
      <w:pPr>
        <w:pStyle w:val="110"/>
        <w:numPr>
          <w:ilvl w:val="1"/>
          <w:numId w:val="0"/>
        </w:numPr>
        <w:spacing w:before="0" w:beforeLines="0" w:after="0" w:afterLines="0"/>
        <w:jc w:val="center"/>
        <w:rPr>
          <w:rFonts w:hint="eastAsia" w:ascii="黑体" w:hAnsi="黑体" w:eastAsia="黑体" w:cs="黑体"/>
          <w:b w:val="0"/>
          <w:bCs w:val="0"/>
          <w:szCs w:val="21"/>
        </w:rPr>
      </w:pPr>
      <w:r>
        <w:rPr>
          <w:rFonts w:hint="eastAsia" w:ascii="黑体" w:hAnsi="黑体" w:eastAsia="黑体" w:cs="黑体"/>
          <w:b w:val="0"/>
          <w:bCs w:val="0"/>
          <w:szCs w:val="21"/>
        </w:rPr>
        <w:t>（资料性）</w:t>
      </w:r>
    </w:p>
    <w:p>
      <w:pPr>
        <w:pStyle w:val="110"/>
        <w:numPr>
          <w:ilvl w:val="1"/>
          <w:numId w:val="0"/>
        </w:numPr>
        <w:spacing w:before="0" w:beforeLines="0" w:after="0" w:afterLines="0"/>
        <w:jc w:val="center"/>
        <w:rPr>
          <w:rFonts w:hint="eastAsia" w:ascii="黑体" w:hAnsi="黑体" w:eastAsia="黑体" w:cs="黑体"/>
          <w:b w:val="0"/>
          <w:bCs w:val="0"/>
          <w:kern w:val="44"/>
          <w:lang w:val="en-US" w:eastAsia="zh-CN"/>
        </w:rPr>
      </w:pPr>
      <w:r>
        <w:rPr>
          <w:rFonts w:hint="eastAsia" w:ascii="黑体" w:hAnsi="黑体" w:eastAsia="黑体" w:cs="黑体"/>
          <w:b w:val="0"/>
          <w:bCs w:val="0"/>
          <w:kern w:val="44"/>
        </w:rPr>
        <w:t>全国</w:t>
      </w:r>
      <w:r>
        <w:rPr>
          <w:rFonts w:hint="eastAsia" w:ascii="黑体" w:hAnsi="黑体" w:eastAsia="黑体" w:cs="黑体"/>
          <w:b w:val="0"/>
          <w:bCs w:val="0"/>
          <w:kern w:val="44"/>
          <w:lang w:val="en-US" w:eastAsia="zh-CN"/>
        </w:rPr>
        <w:t>电力和热力</w:t>
      </w:r>
      <w:r>
        <w:rPr>
          <w:rFonts w:hint="eastAsia" w:ascii="黑体" w:hAnsi="黑体" w:eastAsia="黑体" w:cs="黑体"/>
          <w:b w:val="0"/>
          <w:bCs w:val="0"/>
          <w:kern w:val="44"/>
        </w:rPr>
        <w:t>平均</w:t>
      </w:r>
      <w:r>
        <w:rPr>
          <w:rFonts w:hint="eastAsia" w:ascii="黑体" w:hAnsi="黑体" w:eastAsia="黑体" w:cs="黑体"/>
          <w:b w:val="0"/>
          <w:bCs w:val="0"/>
          <w:kern w:val="44"/>
          <w:lang w:val="en-US" w:eastAsia="zh-CN"/>
        </w:rPr>
        <w:t>碳足迹因子</w:t>
      </w:r>
      <w:bookmarkEnd w:id="257"/>
    </w:p>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全国电力和热力平均碳足迹因子见表D.1。</w:t>
      </w:r>
    </w:p>
    <w:p>
      <w:pPr>
        <w:pStyle w:val="82"/>
        <w:numPr>
          <w:ilvl w:val="0"/>
          <w:numId w:val="0"/>
        </w:numPr>
        <w:spacing w:before="60" w:after="120"/>
        <w:outlineLvl w:val="9"/>
        <w:rPr>
          <w:rFonts w:hint="default" w:ascii="Times New Roman" w:hAnsi="Times New Roman" w:cs="Times New Roman"/>
          <w:b w:val="0"/>
          <w:bCs w:val="0"/>
        </w:rPr>
      </w:pPr>
      <w:bookmarkStart w:id="258" w:name="_Toc5384"/>
      <w:r>
        <w:rPr>
          <w:rFonts w:hint="default" w:ascii="Times New Roman" w:hAnsi="Times New Roman" w:cs="Times New Roman"/>
          <w:b w:val="0"/>
          <w:bCs w:val="0"/>
        </w:rPr>
        <w:t>表</w:t>
      </w:r>
      <w:r>
        <w:rPr>
          <w:rFonts w:hint="default" w:ascii="Times New Roman" w:hAnsi="Times New Roman" w:cs="Times New Roman"/>
          <w:b w:val="0"/>
          <w:bCs w:val="0"/>
          <w:lang w:val="en-US" w:eastAsia="zh-CN"/>
        </w:rPr>
        <w:t>D</w:t>
      </w:r>
      <w:r>
        <w:rPr>
          <w:rFonts w:hint="eastAsia" w:ascii="Times New Roman" w:cs="Times New Roman"/>
          <w:b w:val="0"/>
          <w:bCs w:val="0"/>
          <w:lang w:val="en-US" w:eastAsia="zh-CN"/>
        </w:rPr>
        <w:t>.1</w:t>
      </w:r>
      <w:r>
        <w:rPr>
          <w:rFonts w:hint="default" w:ascii="Times New Roman" w:hAnsi="Times New Roman" w:cs="Times New Roman"/>
          <w:b w:val="0"/>
          <w:bCs w:val="0"/>
        </w:rPr>
        <w:t xml:space="preserve"> </w:t>
      </w:r>
      <w:r>
        <w:rPr>
          <w:rFonts w:hint="default" w:ascii="Times New Roman" w:hAnsi="Times New Roman" w:cs="Times New Roman"/>
          <w:b w:val="0"/>
          <w:bCs w:val="0"/>
          <w:kern w:val="44"/>
          <w:szCs w:val="21"/>
        </w:rPr>
        <w:t>全国</w:t>
      </w:r>
      <w:r>
        <w:rPr>
          <w:rFonts w:hint="default" w:ascii="Times New Roman" w:hAnsi="Times New Roman" w:cs="Times New Roman"/>
          <w:b w:val="0"/>
          <w:bCs w:val="0"/>
          <w:kern w:val="44"/>
          <w:szCs w:val="21"/>
          <w:lang w:val="en-US" w:eastAsia="zh-CN"/>
        </w:rPr>
        <w:t>电力和热力平均碳足迹</w:t>
      </w:r>
      <w:r>
        <w:rPr>
          <w:rFonts w:hint="default" w:ascii="Times New Roman" w:hAnsi="Times New Roman" w:cs="Times New Roman"/>
          <w:b w:val="0"/>
          <w:bCs w:val="0"/>
          <w:kern w:val="44"/>
          <w:szCs w:val="21"/>
        </w:rPr>
        <w:t>因子</w:t>
      </w:r>
      <w:bookmarkEnd w:id="258"/>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0"/>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类型</w:t>
            </w: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单位</w:t>
            </w: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全国</w:t>
            </w:r>
          </w:p>
        </w:tc>
        <w:tc>
          <w:tcPr>
            <w:tcW w:w="2840" w:type="dxa"/>
            <w:vMerge w:val="restart"/>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kg CO</w:t>
            </w:r>
            <w:r>
              <w:rPr>
                <w:rFonts w:hint="default" w:ascii="Times New Roman" w:hAnsi="Times New Roman" w:eastAsia="宋体" w:cs="Times New Roman"/>
                <w:sz w:val="18"/>
                <w:szCs w:val="18"/>
                <w:vertAlign w:val="subscript"/>
                <w:lang w:val="en-US" w:eastAsia="zh-CN"/>
              </w:rPr>
              <w:t>2</w:t>
            </w:r>
            <w:r>
              <w:rPr>
                <w:rFonts w:hint="default" w:ascii="Times New Roman" w:hAnsi="Times New Roman" w:eastAsia="宋体" w:cs="Times New Roman"/>
                <w:sz w:val="18"/>
                <w:szCs w:val="18"/>
                <w:vertAlign w:val="baseline"/>
                <w:lang w:val="en-US" w:eastAsia="zh-CN"/>
              </w:rPr>
              <w:t>e/kWh</w:t>
            </w: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0.5777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燃煤发电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0.9240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燃气发电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0.4503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水力发电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0.0141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核能发电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0.0065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风力发电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0.0324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光伏发电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0.0520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光热发电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rPr>
              <w:t>生物质发电</w:t>
            </w:r>
          </w:p>
        </w:tc>
        <w:tc>
          <w:tcPr>
            <w:tcW w:w="2840" w:type="dxa"/>
            <w:vMerge w:val="continue"/>
            <w:vAlign w:val="center"/>
          </w:tcPr>
          <w:p>
            <w:pPr>
              <w:jc w:val="center"/>
              <w:rPr>
                <w:rFonts w:hint="default" w:ascii="Times New Roman" w:hAnsi="Times New Roman" w:eastAsia="宋体" w:cs="Times New Roman"/>
                <w:sz w:val="18"/>
                <w:szCs w:val="18"/>
                <w:vertAlign w:val="baseline"/>
                <w:lang w:val="en-US" w:eastAsia="zh-CN"/>
              </w:rPr>
            </w:pPr>
          </w:p>
        </w:tc>
        <w:tc>
          <w:tcPr>
            <w:tcW w:w="2840" w:type="dxa"/>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外购热力</w:t>
            </w:r>
          </w:p>
        </w:tc>
        <w:tc>
          <w:tcPr>
            <w:tcW w:w="2840" w:type="dxa"/>
            <w:vAlign w:val="center"/>
          </w:tcPr>
          <w:p>
            <w:pPr>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t CO</w:t>
            </w:r>
            <w:r>
              <w:rPr>
                <w:rFonts w:hint="default" w:ascii="Times New Roman" w:hAnsi="Times New Roman" w:eastAsia="宋体" w:cs="Times New Roman"/>
                <w:sz w:val="18"/>
                <w:szCs w:val="18"/>
                <w:vertAlign w:val="subscript"/>
                <w:lang w:val="en-US" w:eastAsia="zh-CN"/>
              </w:rPr>
              <w:t>2</w:t>
            </w:r>
            <w:r>
              <w:rPr>
                <w:rFonts w:hint="default" w:ascii="Times New Roman" w:hAnsi="Times New Roman" w:eastAsia="宋体" w:cs="Times New Roman"/>
                <w:sz w:val="18"/>
                <w:szCs w:val="18"/>
                <w:vertAlign w:val="baseline"/>
                <w:lang w:val="en-US" w:eastAsia="zh-CN"/>
              </w:rPr>
              <w:t>e/GJ</w:t>
            </w:r>
          </w:p>
        </w:tc>
        <w:tc>
          <w:tcPr>
            <w:tcW w:w="2840" w:type="dxa"/>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0.11</w:t>
            </w:r>
          </w:p>
        </w:tc>
      </w:tr>
    </w:tbl>
    <w:p>
      <w:pPr>
        <w:keepNext/>
        <w:keepLines/>
        <w:adjustRightInd/>
        <w:spacing w:before="120" w:beforeLines="50" w:after="120" w:afterLines="50" w:line="360" w:lineRule="auto"/>
        <w:jc w:val="center"/>
        <w:outlineLvl w:val="0"/>
        <w:rPr>
          <w:rFonts w:hint="default" w:ascii="Times New Roman" w:hAnsi="Times New Roman" w:eastAsia="黑体" w:cs="Times New Roman"/>
          <w:b/>
          <w:bCs/>
          <w:kern w:val="44"/>
          <w:lang w:val="en-US" w:eastAsia="zh-CN"/>
        </w:rPr>
      </w:pPr>
      <w:bookmarkStart w:id="259" w:name="_Toc9928"/>
      <w:r>
        <w:rPr>
          <w:rFonts w:hint="default" w:ascii="Times New Roman" w:hAnsi="Times New Roman" w:eastAsia="黑体" w:cs="Times New Roman"/>
          <w:b/>
          <w:bCs/>
          <w:kern w:val="44"/>
          <w:lang w:val="en-US" w:eastAsia="zh-CN"/>
        </w:rPr>
        <w:t xml:space="preserve">附录E </w:t>
      </w:r>
      <w:bookmarkEnd w:id="259"/>
    </w:p>
    <w:p>
      <w:pPr>
        <w:pStyle w:val="110"/>
        <w:numPr>
          <w:ilvl w:val="1"/>
          <w:numId w:val="0"/>
        </w:numPr>
        <w:spacing w:before="0" w:beforeLines="0" w:after="0" w:afterLines="0"/>
        <w:jc w:val="center"/>
        <w:rPr>
          <w:rFonts w:hint="eastAsia" w:ascii="黑体" w:hAnsi="黑体" w:eastAsia="黑体" w:cs="黑体"/>
          <w:b w:val="0"/>
          <w:bCs w:val="0"/>
          <w:szCs w:val="21"/>
        </w:rPr>
      </w:pPr>
      <w:r>
        <w:rPr>
          <w:rFonts w:hint="eastAsia" w:ascii="黑体" w:hAnsi="黑体" w:eastAsia="黑体" w:cs="黑体"/>
          <w:b w:val="0"/>
          <w:bCs w:val="0"/>
          <w:szCs w:val="21"/>
        </w:rPr>
        <w:t>（资料性）</w:t>
      </w:r>
    </w:p>
    <w:p>
      <w:pPr>
        <w:pStyle w:val="110"/>
        <w:numPr>
          <w:ilvl w:val="1"/>
          <w:numId w:val="0"/>
        </w:numPr>
        <w:spacing w:before="0" w:beforeLines="0" w:after="0" w:afterLines="0"/>
        <w:jc w:val="center"/>
        <w:rPr>
          <w:rFonts w:hint="default" w:ascii="Times New Roman" w:hAnsi="Times New Roman" w:eastAsia="黑体" w:cs="Times New Roman"/>
          <w:b w:val="0"/>
          <w:bCs w:val="0"/>
          <w:kern w:val="44"/>
          <w:lang w:val="en-US" w:eastAsia="zh-CN"/>
        </w:rPr>
      </w:pPr>
      <w:r>
        <w:rPr>
          <w:rFonts w:hint="default" w:ascii="Times New Roman" w:hAnsi="Times New Roman" w:eastAsia="黑体" w:cs="Times New Roman"/>
          <w:b w:val="0"/>
          <w:bCs w:val="0"/>
          <w:kern w:val="44"/>
          <w:lang w:val="en-US" w:eastAsia="zh-CN"/>
        </w:rPr>
        <w:t>部分建筑材料碳排放因子</w:t>
      </w:r>
    </w:p>
    <w:p>
      <w:pPr>
        <w:keepNext w:val="0"/>
        <w:keepLines w:val="0"/>
        <w:pageBreakBefore w:val="0"/>
        <w:widowControl w:val="0"/>
        <w:kinsoku/>
        <w:wordWrap/>
        <w:overflowPunct/>
        <w:topLinePunct w:val="0"/>
        <w:autoSpaceDE/>
        <w:autoSpaceDN/>
        <w:bidi w:val="0"/>
        <w:adjustRightInd w:val="0"/>
        <w:snapToGrid/>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部分建筑材料碳排放因子</w:t>
      </w:r>
      <w:r>
        <w:rPr>
          <w:rFonts w:hint="eastAsia" w:ascii="Times New Roman" w:hAnsi="Times New Roman" w:cs="Times New Roman"/>
          <w:lang w:val="en-US" w:eastAsia="zh-CN"/>
        </w:rPr>
        <w:t>见表E.1。</w:t>
      </w:r>
    </w:p>
    <w:p>
      <w:pPr>
        <w:keepNext w:val="0"/>
        <w:keepLines w:val="0"/>
        <w:pageBreakBefore w:val="0"/>
        <w:widowControl/>
        <w:suppressLineNumbers w:val="0"/>
        <w:kinsoku/>
        <w:wordWrap/>
        <w:overflowPunct/>
        <w:topLinePunct w:val="0"/>
        <w:autoSpaceDE/>
        <w:autoSpaceDN/>
        <w:bidi w:val="0"/>
        <w:adjustRightInd/>
        <w:snapToGrid/>
        <w:ind w:firstLine="420" w:firstLineChars="200"/>
        <w:jc w:val="center"/>
        <w:textAlignment w:val="bottom"/>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黑体" w:cs="Times New Roman"/>
          <w:lang w:val="en-US" w:eastAsia="zh-CN"/>
        </w:rPr>
        <w:t>表E</w:t>
      </w:r>
      <w:r>
        <w:rPr>
          <w:rFonts w:hint="eastAsia" w:ascii="Times New Roman" w:hAnsi="Times New Roman" w:eastAsia="黑体" w:cs="Times New Roman"/>
          <w:lang w:val="en-US" w:eastAsia="zh-CN"/>
        </w:rPr>
        <w:t>.1</w:t>
      </w:r>
      <w:r>
        <w:rPr>
          <w:rFonts w:hint="default" w:ascii="Times New Roman" w:hAnsi="Times New Roman" w:eastAsia="黑体" w:cs="Times New Roman"/>
          <w:lang w:val="en-US" w:eastAsia="zh-CN"/>
        </w:rPr>
        <w:t xml:space="preserve"> 部分建筑材料碳排放因子</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010"/>
        <w:gridCol w:w="2804"/>
        <w:gridCol w:w="1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建筑材料类别</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建筑材料碳排放因子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普通硅酸盐水泥（市场平均）</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735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C30混凝土</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295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C50混凝土</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385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石灰生产（市场平均）</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1190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消石灰（熟石灰、氢氧化钙）</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747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天然石膏</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32.8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砂（</w:t>
            </w:r>
            <w:r>
              <w:rPr>
                <w:rFonts w:hint="default" w:ascii="Times New Roman" w:hAnsi="Times New Roman" w:eastAsia="宋体" w:cs="Times New Roman"/>
                <w:i/>
                <w:iCs/>
                <w:color w:val="000000"/>
                <w:kern w:val="0"/>
                <w:sz w:val="18"/>
                <w:szCs w:val="18"/>
                <w:u w:val="none"/>
                <w:lang w:val="en-US" w:eastAsia="zh-CN" w:bidi="ar"/>
              </w:rPr>
              <w:t>f</w:t>
            </w:r>
            <w:r>
              <w:rPr>
                <w:rFonts w:hint="default" w:ascii="Times New Roman" w:hAnsi="Times New Roman" w:eastAsia="宋体" w:cs="Times New Roman"/>
                <w:i w:val="0"/>
                <w:iCs w:val="0"/>
                <w:color w:val="000000"/>
                <w:kern w:val="0"/>
                <w:sz w:val="18"/>
                <w:szCs w:val="18"/>
                <w:u w:val="none"/>
                <w:lang w:val="en-US" w:eastAsia="zh-CN" w:bidi="ar"/>
              </w:rPr>
              <w:t>=1.6-3.0）</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2.51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碎石（</w:t>
            </w:r>
            <w:r>
              <w:rPr>
                <w:rFonts w:hint="default" w:ascii="Times New Roman" w:hAnsi="Times New Roman" w:eastAsia="宋体" w:cs="Times New Roman"/>
                <w:i/>
                <w:iCs/>
                <w:color w:val="000000"/>
                <w:kern w:val="0"/>
                <w:sz w:val="18"/>
                <w:szCs w:val="18"/>
                <w:u w:val="none"/>
                <w:lang w:val="en-US" w:eastAsia="zh-CN" w:bidi="ar"/>
              </w:rPr>
              <w:t>d</w:t>
            </w:r>
            <w:r>
              <w:rPr>
                <w:rFonts w:hint="default" w:ascii="Times New Roman" w:hAnsi="Times New Roman" w:eastAsia="宋体" w:cs="Times New Roman"/>
                <w:i w:val="0"/>
                <w:iCs w:val="0"/>
                <w:color w:val="000000"/>
                <w:kern w:val="0"/>
                <w:sz w:val="18"/>
                <w:szCs w:val="18"/>
                <w:u w:val="none"/>
                <w:lang w:val="en-US" w:eastAsia="zh-CN" w:bidi="ar"/>
              </w:rPr>
              <w:t>=10mm-30mm）</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2.18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页岩石</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5.08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黏土</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2.69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混凝土砖(240mm×115mm×90mm)</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336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蒸压粉煤灰砖(240mmm×115mm×53mm)</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341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烧结粉煤灰实心砖(240mm×115mm×53mm，掺入量为50%)</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134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页岩实心砖(240mm×115mm×53mn)</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292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页岩空心砖(240mm×115mm×53mm)</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204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黏土空心砖(240mm×115mm×53mm)</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250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煤矸石实心砖(240mm×115mm×53mm，90%掺入量)</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22.8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煤矸石空心砖(240mm×115mm×53mm，90%掺入量)</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16.0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炼钢生铁</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1700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铸造生铁</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2280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炼钢用铁合金（市场平均）</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9530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转炉碳钢</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1990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电炉碳钢</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3030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普通碳钢（市场平均）</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2050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热轧碳钢小型型钢</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2310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热轧碳钢中型型钢</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2365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热轧碳钢大型轨梁(方圆坯、管坯)</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2340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热轧碳钢大型轨梁(重轨、普通型钢)</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2380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热轧碳钢中厚板</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2400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热轧碳钢H钢</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2350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热轧碳钢宽带钢</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2310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热轧碳钢钢筋</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2340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热轧碳钢高线材</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2375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热轧碳钢棒材</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2340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螺旋埋弧焊管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2520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大口径埋弧焊直缝钢管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2430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焊接直缝钢管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2530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热轧碳钢无缝钢管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3150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冷轧冷拔碳钢无缝钢管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3680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碳钢热镀锌板卷</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3110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碳钢电镀锌板卷</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3020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碳钢电镀锡板卷</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2870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酸洗板卷</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1730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冷轧碳钢板卷</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2530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冷硬碳钢板卷</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2410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平板玻璃</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1130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电解铝（全国平均电网电力）</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20300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铝板带</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28500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vMerge w:val="restart"/>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断桥铝合金窗</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100%原生铝型材</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254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vMerge w:val="continue"/>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原生铝：再生铝=7:3</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194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vMerge w:val="restart"/>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铝木复合窗</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100%原生铝型材</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147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vMerge w:val="continue"/>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原生铝：再生铝=7:3</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122.5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铝塑共挤窗</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129.5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塑钢窗</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121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无规共聚聚丙烯管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3.72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聚乙烯管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3.60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硬聚氯乙烯管</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7.93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聚苯乙烯泡沫板</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5020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岩棉板</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1980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硬泡聚氨酯板</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5220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铝塑复合板</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8.06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铜塑复合板</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37.1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铜单板</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218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e/m</w:t>
            </w:r>
            <w:r>
              <w:rPr>
                <w:rFonts w:hint="default" w:ascii="Times New Roman" w:hAnsi="Times New Roman" w:eastAsia="宋体" w:cs="Times New Roman"/>
                <w:i w:val="0"/>
                <w:iCs w:val="0"/>
                <w:color w:val="000000"/>
                <w:kern w:val="0"/>
                <w:sz w:val="18"/>
                <w:szCs w:val="18"/>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普通聚苯乙烯</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4620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线性低密度聚乙烯</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1990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高密度聚乙烯</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2620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低密度聚乙烯</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2810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聚氯乙烯(市场平均)</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7300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0" w:type="auto"/>
            <w:gridSpan w:val="2"/>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自来水</w:t>
            </w:r>
          </w:p>
        </w:tc>
        <w:tc>
          <w:tcPr>
            <w:tcW w:w="0" w:type="auto"/>
            <w:shd w:val="clear" w:color="auto" w:fill="auto"/>
            <w:noWrap/>
            <w:vAlign w:val="center"/>
          </w:tcPr>
          <w:p>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0.168 kg CO</w:t>
            </w:r>
            <w:r>
              <w:rPr>
                <w:rFonts w:hint="default" w:ascii="Times New Roman" w:hAnsi="Times New Roman" w:eastAsia="宋体" w:cs="Times New Roman"/>
                <w:i w:val="0"/>
                <w:iCs w:val="0"/>
                <w:color w:val="000000"/>
                <w:kern w:val="0"/>
                <w:sz w:val="18"/>
                <w:szCs w:val="18"/>
                <w:u w:val="none"/>
                <w:vertAlign w:val="subscript"/>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e/t</w:t>
            </w:r>
          </w:p>
        </w:tc>
      </w:tr>
    </w:tbl>
    <w:p>
      <w:pPr>
        <w:jc w:val="center"/>
        <w:rPr>
          <w:rFonts w:hint="default" w:ascii="Times New Roman" w:hAnsi="Times New Roman" w:eastAsia="黑体" w:cs="Times New Roman"/>
          <w:lang w:val="en-US" w:eastAsia="zh-CN"/>
        </w:rPr>
      </w:pPr>
    </w:p>
    <w:p>
      <w:pPr>
        <w:jc w:val="center"/>
        <w:rPr>
          <w:rFonts w:hint="default" w:ascii="Times New Roman" w:hAnsi="Times New Roman" w:eastAsia="黑体" w:cs="Times New Roman"/>
          <w:lang w:val="en-US" w:eastAsia="zh-CN"/>
        </w:rPr>
        <w:sectPr>
          <w:footerReference r:id="rId6" w:type="default"/>
          <w:pgSz w:w="11906" w:h="16838"/>
          <w:pgMar w:top="400" w:right="1301" w:bottom="1450" w:left="1334" w:header="0" w:footer="1262" w:gutter="0"/>
          <w:cols w:space="720" w:num="1"/>
        </w:sectPr>
      </w:pPr>
    </w:p>
    <w:p>
      <w:pPr>
        <w:jc w:val="center"/>
        <w:rPr>
          <w:rFonts w:hint="default" w:ascii="Times New Roman" w:hAnsi="Times New Roman" w:eastAsia="黑体" w:cs="Times New Roman"/>
          <w:lang w:val="en-US" w:eastAsia="zh-CN"/>
        </w:rPr>
      </w:pPr>
    </w:p>
    <w:p>
      <w:pPr>
        <w:keepNext/>
        <w:keepLines/>
        <w:adjustRightInd/>
        <w:spacing w:before="120" w:beforeLines="50" w:after="120" w:afterLines="50" w:line="360" w:lineRule="auto"/>
        <w:jc w:val="center"/>
        <w:outlineLvl w:val="0"/>
        <w:rPr>
          <w:rFonts w:hint="default" w:ascii="Times New Roman" w:hAnsi="Times New Roman" w:eastAsia="黑体" w:cs="Times New Roman"/>
          <w:b/>
          <w:bCs/>
          <w:kern w:val="44"/>
          <w:lang w:val="en-US" w:eastAsia="zh-CN"/>
        </w:rPr>
      </w:pPr>
      <w:bookmarkStart w:id="260" w:name="_Toc4788"/>
      <w:r>
        <w:rPr>
          <w:rFonts w:hint="default" w:ascii="Times New Roman" w:hAnsi="Times New Roman" w:eastAsia="黑体" w:cs="Times New Roman"/>
          <w:b/>
          <w:bCs/>
          <w:kern w:val="44"/>
          <w:lang w:val="en-US" w:eastAsia="zh-CN"/>
        </w:rPr>
        <w:t>附录F</w:t>
      </w:r>
    </w:p>
    <w:p>
      <w:pPr>
        <w:bidi w:val="0"/>
        <w:jc w:val="center"/>
        <w:rPr>
          <w:rFonts w:hint="eastAsia" w:ascii="黑体" w:hAnsi="黑体" w:eastAsia="黑体" w:cs="黑体"/>
          <w:lang w:val="en-US" w:eastAsia="zh-CN"/>
        </w:rPr>
      </w:pPr>
      <w:r>
        <w:rPr>
          <w:rFonts w:hint="eastAsia" w:ascii="黑体" w:hAnsi="黑体" w:eastAsia="黑体" w:cs="黑体"/>
          <w:lang w:val="en-US" w:eastAsia="zh-CN"/>
        </w:rPr>
        <w:t>（资料性）</w:t>
      </w:r>
    </w:p>
    <w:p>
      <w:pPr>
        <w:bidi w:val="0"/>
        <w:jc w:val="center"/>
        <w:rPr>
          <w:rFonts w:hint="eastAsia" w:ascii="黑体" w:hAnsi="黑体" w:eastAsia="黑体" w:cs="黑体"/>
          <w:lang w:val="en-US" w:eastAsia="zh-CN"/>
        </w:rPr>
      </w:pPr>
      <w:r>
        <w:rPr>
          <w:rFonts w:hint="eastAsia" w:ascii="黑体" w:hAnsi="黑体" w:eastAsia="黑体" w:cs="黑体"/>
          <w:lang w:val="en-US" w:eastAsia="zh-CN"/>
        </w:rPr>
        <w:t>产品碳足迹报告模板</w:t>
      </w:r>
      <w:bookmarkEnd w:id="260"/>
    </w:p>
    <w:p>
      <w:pPr>
        <w:rPr>
          <w:rFonts w:hint="default" w:ascii="Times New Roman" w:hAnsi="Times New Roman" w:cs="Times New Roman"/>
          <w:lang w:val="en-US" w:eastAsia="zh-CN"/>
        </w:rPr>
      </w:pPr>
      <w:r>
        <w:rPr>
          <w:rFonts w:hint="default" w:ascii="Times New Roman" w:hAnsi="Times New Roman" w:cs="Times New Roman"/>
          <w:lang w:val="en-US" w:eastAsia="zh-CN"/>
        </w:rPr>
        <w:t>产品碳足迹报告格式模板如下。</w:t>
      </w: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jc w:val="center"/>
        <w:rPr>
          <w:rFonts w:hint="default" w:ascii="Times New Roman" w:hAnsi="Times New Roman" w:cs="Times New Roman"/>
          <w:sz w:val="40"/>
          <w:szCs w:val="48"/>
          <w:lang w:val="en-US" w:eastAsia="zh-CN"/>
        </w:rPr>
      </w:pPr>
      <w:r>
        <w:rPr>
          <w:rFonts w:hint="default" w:ascii="Times New Roman" w:hAnsi="Times New Roman" w:cs="Times New Roman"/>
          <w:sz w:val="40"/>
          <w:szCs w:val="48"/>
          <w:lang w:val="en-US" w:eastAsia="zh-CN"/>
        </w:rPr>
        <w:t>产品碳足迹报告（模板）</w:t>
      </w:r>
    </w:p>
    <w:p>
      <w:pPr>
        <w:jc w:val="center"/>
        <w:rPr>
          <w:rFonts w:hint="default" w:ascii="Times New Roman" w:hAnsi="Times New Roman" w:cs="Times New Roman"/>
          <w:sz w:val="40"/>
          <w:szCs w:val="48"/>
          <w:lang w:val="en-US" w:eastAsia="zh-CN"/>
        </w:rPr>
      </w:pPr>
    </w:p>
    <w:p>
      <w:pPr>
        <w:jc w:val="center"/>
        <w:rPr>
          <w:rFonts w:hint="default" w:ascii="Times New Roman" w:hAnsi="Times New Roman" w:cs="Times New Roman"/>
          <w:sz w:val="40"/>
          <w:szCs w:val="48"/>
          <w:lang w:val="en-US" w:eastAsia="zh-CN"/>
        </w:rPr>
      </w:pPr>
    </w:p>
    <w:p>
      <w:pPr>
        <w:jc w:val="center"/>
        <w:rPr>
          <w:rFonts w:hint="default" w:ascii="Times New Roman" w:hAnsi="Times New Roman" w:cs="Times New Roman"/>
          <w:sz w:val="40"/>
          <w:szCs w:val="48"/>
          <w:lang w:val="en-US" w:eastAsia="zh-CN"/>
        </w:rPr>
      </w:pPr>
    </w:p>
    <w:p>
      <w:pPr>
        <w:keepNext w:val="0"/>
        <w:keepLines w:val="0"/>
        <w:pageBreakBefore w:val="0"/>
        <w:widowControl w:val="0"/>
        <w:tabs>
          <w:tab w:val="left" w:leader="underscore" w:pos="4200"/>
        </w:tabs>
        <w:kinsoku/>
        <w:wordWrap/>
        <w:overflowPunct/>
        <w:topLinePunct w:val="0"/>
        <w:autoSpaceDE/>
        <w:autoSpaceDN/>
        <w:bidi w:val="0"/>
        <w:adjustRightInd/>
        <w:snapToGrid/>
        <w:jc w:val="center"/>
        <w:textAlignment w:val="auto"/>
        <w:rPr>
          <w:rFonts w:hint="default" w:ascii="Times New Roman" w:hAnsi="Times New Roman" w:cs="Times New Roman"/>
          <w:sz w:val="28"/>
          <w:szCs w:val="28"/>
          <w:lang w:val="en-US" w:eastAsia="zh-CN"/>
        </w:rPr>
      </w:pPr>
      <w:r>
        <w:rPr>
          <w:rFonts w:hint="default" w:ascii="Times New Roman" w:hAnsi="Times New Roman" w:cs="Times New Roman"/>
          <w:spacing w:val="77"/>
          <w:kern w:val="0"/>
          <w:sz w:val="28"/>
          <w:szCs w:val="28"/>
          <w:fitText w:val="2016" w:id="1144932018"/>
          <w:lang w:val="en-US" w:eastAsia="zh-CN"/>
        </w:rPr>
        <w:t>产品名称</w:t>
      </w:r>
      <w:r>
        <w:rPr>
          <w:rFonts w:hint="default" w:ascii="Times New Roman" w:hAnsi="Times New Roman" w:cs="Times New Roman"/>
          <w:spacing w:val="0"/>
          <w:kern w:val="0"/>
          <w:sz w:val="28"/>
          <w:szCs w:val="28"/>
          <w:fitText w:val="2016" w:id="1144932018"/>
          <w:lang w:val="en-US" w:eastAsia="zh-CN"/>
        </w:rPr>
        <w:t>：</w:t>
      </w:r>
      <w:r>
        <w:rPr>
          <w:rFonts w:hint="default" w:ascii="Times New Roman" w:hAnsi="Times New Roman" w:cs="Times New Roman"/>
          <w:kern w:val="0"/>
          <w:sz w:val="28"/>
          <w:szCs w:val="28"/>
          <w:lang w:val="en-US" w:eastAsia="zh-CN"/>
        </w:rPr>
        <w:tab/>
      </w:r>
    </w:p>
    <w:p>
      <w:pPr>
        <w:keepNext w:val="0"/>
        <w:keepLines w:val="0"/>
        <w:pageBreakBefore w:val="0"/>
        <w:widowControl w:val="0"/>
        <w:tabs>
          <w:tab w:val="left" w:leader="underscore" w:pos="4200"/>
        </w:tabs>
        <w:kinsoku/>
        <w:wordWrap/>
        <w:overflowPunct/>
        <w:topLinePunct w:val="0"/>
        <w:autoSpaceDE/>
        <w:autoSpaceDN/>
        <w:bidi w:val="0"/>
        <w:adjustRightInd/>
        <w:snapToGrid/>
        <w:jc w:val="center"/>
        <w:textAlignment w:val="auto"/>
        <w:rPr>
          <w:rFonts w:hint="default" w:ascii="Times New Roman" w:hAnsi="Times New Roman" w:cs="Times New Roman"/>
          <w:sz w:val="28"/>
          <w:szCs w:val="28"/>
          <w:lang w:val="en-US" w:eastAsia="zh-CN"/>
        </w:rPr>
      </w:pPr>
      <w:r>
        <w:rPr>
          <w:rFonts w:hint="default" w:ascii="Times New Roman" w:hAnsi="Times New Roman" w:cs="Times New Roman"/>
          <w:spacing w:val="4"/>
          <w:kern w:val="0"/>
          <w:sz w:val="28"/>
          <w:szCs w:val="28"/>
          <w:fitText w:val="2016" w:id="253625681"/>
          <w:lang w:val="en-US" w:eastAsia="zh-CN"/>
        </w:rPr>
        <w:t>产品规格型号：</w:t>
      </w:r>
      <w:r>
        <w:rPr>
          <w:rFonts w:hint="default" w:ascii="Times New Roman" w:hAnsi="Times New Roman" w:cs="Times New Roman"/>
          <w:kern w:val="0"/>
          <w:sz w:val="28"/>
          <w:szCs w:val="28"/>
          <w:lang w:val="en-US" w:eastAsia="zh-CN"/>
        </w:rPr>
        <w:tab/>
      </w:r>
    </w:p>
    <w:p>
      <w:pPr>
        <w:keepNext w:val="0"/>
        <w:keepLines w:val="0"/>
        <w:pageBreakBefore w:val="0"/>
        <w:widowControl w:val="0"/>
        <w:tabs>
          <w:tab w:val="left" w:leader="underscore" w:pos="4200"/>
        </w:tabs>
        <w:kinsoku/>
        <w:wordWrap/>
        <w:overflowPunct/>
        <w:topLinePunct w:val="0"/>
        <w:autoSpaceDE/>
        <w:autoSpaceDN/>
        <w:bidi w:val="0"/>
        <w:adjustRightInd/>
        <w:snapToGrid/>
        <w:jc w:val="center"/>
        <w:textAlignment w:val="auto"/>
        <w:rPr>
          <w:rFonts w:hint="default" w:ascii="Times New Roman" w:hAnsi="Times New Roman" w:cs="Times New Roman"/>
          <w:sz w:val="28"/>
          <w:szCs w:val="28"/>
          <w:lang w:val="en-US" w:eastAsia="zh-CN"/>
        </w:rPr>
      </w:pPr>
      <w:r>
        <w:rPr>
          <w:rFonts w:hint="default" w:ascii="Times New Roman" w:hAnsi="Times New Roman" w:cs="Times New Roman"/>
          <w:spacing w:val="33"/>
          <w:kern w:val="0"/>
          <w:sz w:val="28"/>
          <w:szCs w:val="28"/>
          <w:fitText w:val="2016" w:id="29318167"/>
          <w:lang w:val="en-US" w:eastAsia="zh-CN"/>
        </w:rPr>
        <w:t>生产者名称</w:t>
      </w:r>
      <w:r>
        <w:rPr>
          <w:rFonts w:hint="default" w:ascii="Times New Roman" w:hAnsi="Times New Roman" w:cs="Times New Roman"/>
          <w:spacing w:val="3"/>
          <w:kern w:val="0"/>
          <w:sz w:val="28"/>
          <w:szCs w:val="28"/>
          <w:fitText w:val="2016" w:id="29318167"/>
          <w:lang w:val="en-US" w:eastAsia="zh-CN"/>
        </w:rPr>
        <w:t>：</w:t>
      </w:r>
      <w:r>
        <w:rPr>
          <w:rFonts w:hint="default" w:ascii="Times New Roman" w:hAnsi="Times New Roman" w:cs="Times New Roman"/>
          <w:kern w:val="0"/>
          <w:sz w:val="28"/>
          <w:szCs w:val="28"/>
          <w:lang w:val="en-US" w:eastAsia="zh-CN"/>
        </w:rPr>
        <w:tab/>
      </w:r>
    </w:p>
    <w:p>
      <w:pPr>
        <w:keepNext w:val="0"/>
        <w:keepLines w:val="0"/>
        <w:pageBreakBefore w:val="0"/>
        <w:widowControl w:val="0"/>
        <w:tabs>
          <w:tab w:val="left" w:leader="underscore" w:pos="4200"/>
        </w:tabs>
        <w:kinsoku/>
        <w:wordWrap/>
        <w:overflowPunct/>
        <w:topLinePunct w:val="0"/>
        <w:autoSpaceDE/>
        <w:autoSpaceDN/>
        <w:bidi w:val="0"/>
        <w:adjustRightInd/>
        <w:snapToGrid/>
        <w:jc w:val="center"/>
        <w:textAlignment w:val="auto"/>
        <w:rPr>
          <w:rFonts w:hint="default" w:ascii="Times New Roman" w:hAnsi="Times New Roman" w:cs="Times New Roman"/>
          <w:sz w:val="28"/>
          <w:szCs w:val="28"/>
          <w:lang w:val="en-US" w:eastAsia="zh-CN"/>
        </w:rPr>
      </w:pPr>
      <w:r>
        <w:rPr>
          <w:rFonts w:hint="default" w:ascii="Times New Roman" w:hAnsi="Times New Roman" w:cs="Times New Roman"/>
          <w:spacing w:val="77"/>
          <w:kern w:val="0"/>
          <w:sz w:val="28"/>
          <w:szCs w:val="28"/>
          <w:fitText w:val="2016" w:id="2026326014"/>
          <w:lang w:val="en-US" w:eastAsia="zh-CN"/>
        </w:rPr>
        <w:t>报告编号</w:t>
      </w:r>
      <w:r>
        <w:rPr>
          <w:rFonts w:hint="default" w:ascii="Times New Roman" w:hAnsi="Times New Roman" w:cs="Times New Roman"/>
          <w:spacing w:val="0"/>
          <w:kern w:val="0"/>
          <w:sz w:val="28"/>
          <w:szCs w:val="28"/>
          <w:fitText w:val="2016" w:id="2026326014"/>
          <w:lang w:val="en-US" w:eastAsia="zh-CN"/>
        </w:rPr>
        <w:t>：</w:t>
      </w:r>
      <w:r>
        <w:rPr>
          <w:rFonts w:hint="default" w:ascii="Times New Roman" w:hAnsi="Times New Roman" w:cs="Times New Roman"/>
          <w:kern w:val="0"/>
          <w:sz w:val="28"/>
          <w:szCs w:val="28"/>
          <w:lang w:val="en-US" w:eastAsia="zh-CN"/>
        </w:rPr>
        <w:tab/>
      </w:r>
    </w:p>
    <w:p>
      <w:pPr>
        <w:jc w:val="center"/>
        <w:rPr>
          <w:rFonts w:hint="default" w:ascii="Times New Roman" w:hAnsi="Times New Roman" w:cs="Times New Roman"/>
          <w:sz w:val="40"/>
          <w:szCs w:val="48"/>
          <w:lang w:val="en-US" w:eastAsia="zh-CN"/>
        </w:rPr>
      </w:pPr>
    </w:p>
    <w:p>
      <w:pPr>
        <w:jc w:val="center"/>
        <w:rPr>
          <w:rFonts w:hint="default" w:ascii="Times New Roman" w:hAnsi="Times New Roman" w:cs="Times New Roman"/>
          <w:sz w:val="40"/>
          <w:szCs w:val="48"/>
          <w:lang w:val="en-US" w:eastAsia="zh-CN"/>
        </w:rPr>
      </w:pPr>
    </w:p>
    <w:p>
      <w:pPr>
        <w:jc w:val="center"/>
        <w:rPr>
          <w:rFonts w:hint="default" w:ascii="Times New Roman" w:hAnsi="Times New Roman" w:cs="Times New Roman"/>
          <w:sz w:val="28"/>
          <w:szCs w:val="36"/>
          <w:lang w:val="en-US" w:eastAsia="zh-CN"/>
        </w:rPr>
      </w:pPr>
    </w:p>
    <w:p>
      <w:pPr>
        <w:jc w:val="center"/>
        <w:rPr>
          <w:rFonts w:hint="default" w:ascii="Times New Roman" w:hAnsi="Times New Roman" w:cs="Times New Roman"/>
          <w:sz w:val="28"/>
          <w:szCs w:val="36"/>
          <w:u w:val="single"/>
          <w:lang w:val="en-US" w:eastAsia="zh-CN"/>
        </w:rPr>
      </w:pPr>
    </w:p>
    <w:p>
      <w:pPr>
        <w:jc w:val="center"/>
        <w:rPr>
          <w:rFonts w:hint="default" w:ascii="Times New Roman" w:hAnsi="Times New Roman" w:cs="Times New Roman"/>
          <w:sz w:val="28"/>
          <w:szCs w:val="36"/>
          <w:u w:val="single"/>
          <w:lang w:val="en-US" w:eastAsia="zh-CN"/>
        </w:rPr>
      </w:pPr>
    </w:p>
    <w:p>
      <w:pPr>
        <w:jc w:val="center"/>
        <w:rPr>
          <w:rFonts w:hint="default" w:ascii="Times New Roman" w:hAnsi="Times New Roman" w:cs="Times New Roman"/>
          <w:sz w:val="28"/>
          <w:szCs w:val="36"/>
          <w:u w:val="single"/>
          <w:lang w:val="en-US" w:eastAsia="zh-CN"/>
        </w:rPr>
      </w:pPr>
    </w:p>
    <w:p>
      <w:pPr>
        <w:jc w:val="right"/>
        <w:rPr>
          <w:rFonts w:hint="default" w:ascii="Times New Roman" w:hAnsi="Times New Roman" w:cs="Times New Roman"/>
          <w:sz w:val="28"/>
          <w:szCs w:val="36"/>
          <w:u w:val="none"/>
          <w:lang w:val="en-US" w:eastAsia="zh-CN"/>
        </w:rPr>
      </w:pPr>
      <w:r>
        <w:rPr>
          <w:rFonts w:hint="default" w:ascii="Times New Roman" w:hAnsi="Times New Roman" w:cs="Times New Roman"/>
          <w:sz w:val="28"/>
          <w:szCs w:val="36"/>
          <w:u w:val="none"/>
          <w:lang w:val="en-US" w:eastAsia="zh-CN"/>
        </w:rPr>
        <w:t>出具报告机构：</w:t>
      </w:r>
      <w:r>
        <w:rPr>
          <w:rFonts w:hint="default" w:ascii="Times New Roman" w:hAnsi="Times New Roman" w:cs="Times New Roman"/>
          <w:sz w:val="28"/>
          <w:szCs w:val="36"/>
          <w:u w:val="none"/>
          <w:lang w:val="en-US" w:eastAsia="zh-CN"/>
        </w:rPr>
        <w:tab/>
      </w:r>
      <w:r>
        <w:rPr>
          <w:rFonts w:hint="default" w:ascii="Times New Roman" w:hAnsi="Times New Roman" w:cs="Times New Roman"/>
          <w:sz w:val="28"/>
          <w:szCs w:val="36"/>
          <w:u w:val="none"/>
          <w:lang w:val="en-US" w:eastAsia="zh-CN"/>
        </w:rPr>
        <w:tab/>
      </w:r>
      <w:r>
        <w:rPr>
          <w:rFonts w:hint="default" w:ascii="Times New Roman" w:hAnsi="Times New Roman" w:cs="Times New Roman"/>
          <w:sz w:val="28"/>
          <w:szCs w:val="36"/>
          <w:u w:val="none"/>
          <w:lang w:val="en-US" w:eastAsia="zh-CN"/>
        </w:rPr>
        <w:tab/>
      </w:r>
      <w:r>
        <w:rPr>
          <w:rFonts w:hint="default" w:ascii="Times New Roman" w:hAnsi="Times New Roman" w:cs="Times New Roman"/>
          <w:sz w:val="28"/>
          <w:szCs w:val="36"/>
          <w:u w:val="none"/>
          <w:lang w:val="en-US" w:eastAsia="zh-CN"/>
        </w:rPr>
        <w:tab/>
      </w:r>
      <w:r>
        <w:rPr>
          <w:rFonts w:hint="default" w:ascii="Times New Roman" w:hAnsi="Times New Roman" w:cs="Times New Roman"/>
          <w:sz w:val="28"/>
          <w:szCs w:val="36"/>
          <w:u w:val="none"/>
          <w:lang w:val="en-US" w:eastAsia="zh-CN"/>
        </w:rPr>
        <w:t>盖章</w:t>
      </w:r>
      <w:r>
        <w:rPr>
          <w:rFonts w:hint="default" w:ascii="Times New Roman" w:hAnsi="Times New Roman" w:cs="Times New Roman"/>
          <w:sz w:val="28"/>
          <w:szCs w:val="36"/>
          <w:u w:val="none"/>
          <w:lang w:val="en-US" w:eastAsia="zh-CN"/>
        </w:rPr>
        <w:tab/>
      </w:r>
      <w:r>
        <w:rPr>
          <w:rFonts w:hint="default" w:ascii="Times New Roman" w:hAnsi="Times New Roman" w:cs="Times New Roman"/>
          <w:sz w:val="28"/>
          <w:szCs w:val="36"/>
          <w:u w:val="none"/>
          <w:lang w:val="en-US" w:eastAsia="zh-CN"/>
        </w:rPr>
        <w:tab/>
      </w:r>
      <w:r>
        <w:rPr>
          <w:rFonts w:hint="default" w:ascii="Times New Roman" w:hAnsi="Times New Roman" w:cs="Times New Roman"/>
          <w:sz w:val="28"/>
          <w:szCs w:val="36"/>
          <w:u w:val="none"/>
          <w:lang w:val="en-US" w:eastAsia="zh-CN"/>
        </w:rPr>
        <w:tab/>
      </w:r>
    </w:p>
    <w:p>
      <w:pPr>
        <w:keepNext w:val="0"/>
        <w:keepLines w:val="0"/>
        <w:pageBreakBefore w:val="0"/>
        <w:widowControl w:val="0"/>
        <w:kinsoku/>
        <w:wordWrap/>
        <w:overflowPunct/>
        <w:topLinePunct w:val="0"/>
        <w:autoSpaceDE/>
        <w:autoSpaceDN/>
        <w:bidi w:val="0"/>
        <w:adjustRightInd/>
        <w:snapToGrid/>
        <w:jc w:val="right"/>
        <w:textAlignment w:val="auto"/>
        <w:rPr>
          <w:rFonts w:hint="default" w:ascii="Times New Roman" w:hAnsi="Times New Roman" w:cs="Times New Roman"/>
          <w:sz w:val="28"/>
          <w:szCs w:val="36"/>
          <w:u w:val="none"/>
          <w:lang w:val="en-US" w:eastAsia="zh-CN"/>
        </w:rPr>
      </w:pPr>
      <w:r>
        <w:rPr>
          <w:rFonts w:hint="default" w:ascii="Times New Roman" w:hAnsi="Times New Roman" w:cs="Times New Roman"/>
          <w:sz w:val="28"/>
          <w:szCs w:val="36"/>
          <w:u w:val="none"/>
          <w:lang w:val="en-US" w:eastAsia="zh-CN"/>
        </w:rPr>
        <w:t>日期：</w:t>
      </w:r>
      <w:r>
        <w:rPr>
          <w:rFonts w:hint="default" w:ascii="Times New Roman" w:hAnsi="Times New Roman" w:cs="Times New Roman"/>
          <w:sz w:val="28"/>
          <w:szCs w:val="36"/>
          <w:u w:val="single"/>
          <w:lang w:val="en-US" w:eastAsia="zh-CN"/>
        </w:rPr>
        <w:tab/>
      </w:r>
      <w:r>
        <w:rPr>
          <w:rFonts w:hint="default" w:ascii="Times New Roman" w:hAnsi="Times New Roman" w:cs="Times New Roman"/>
          <w:sz w:val="28"/>
          <w:szCs w:val="36"/>
          <w:u w:val="single"/>
          <w:lang w:val="en-US" w:eastAsia="zh-CN"/>
        </w:rPr>
        <w:tab/>
      </w:r>
      <w:r>
        <w:rPr>
          <w:rFonts w:hint="default" w:ascii="Times New Roman" w:hAnsi="Times New Roman" w:cs="Times New Roman"/>
          <w:sz w:val="28"/>
          <w:szCs w:val="36"/>
          <w:u w:val="none"/>
          <w:lang w:val="en-US" w:eastAsia="zh-CN"/>
        </w:rPr>
        <w:t>年</w:t>
      </w:r>
      <w:r>
        <w:rPr>
          <w:rFonts w:hint="default" w:ascii="Times New Roman" w:hAnsi="Times New Roman" w:cs="Times New Roman"/>
          <w:sz w:val="28"/>
          <w:szCs w:val="36"/>
          <w:u w:val="single"/>
          <w:lang w:val="en-US" w:eastAsia="zh-CN"/>
        </w:rPr>
        <w:tab/>
      </w:r>
      <w:r>
        <w:rPr>
          <w:rFonts w:hint="default" w:ascii="Times New Roman" w:hAnsi="Times New Roman" w:cs="Times New Roman"/>
          <w:sz w:val="28"/>
          <w:szCs w:val="36"/>
          <w:u w:val="single"/>
          <w:lang w:val="en-US" w:eastAsia="zh-CN"/>
        </w:rPr>
        <w:tab/>
      </w:r>
      <w:r>
        <w:rPr>
          <w:rFonts w:hint="default" w:ascii="Times New Roman" w:hAnsi="Times New Roman" w:cs="Times New Roman"/>
          <w:sz w:val="28"/>
          <w:szCs w:val="36"/>
          <w:u w:val="none"/>
          <w:lang w:val="en-US" w:eastAsia="zh-CN"/>
        </w:rPr>
        <w:t>月</w:t>
      </w:r>
      <w:r>
        <w:rPr>
          <w:rFonts w:hint="default" w:ascii="Times New Roman" w:hAnsi="Times New Roman" w:cs="Times New Roman"/>
          <w:sz w:val="28"/>
          <w:szCs w:val="36"/>
          <w:u w:val="single"/>
          <w:lang w:val="en-US" w:eastAsia="zh-CN"/>
        </w:rPr>
        <w:tab/>
      </w:r>
      <w:r>
        <w:rPr>
          <w:rFonts w:hint="default" w:ascii="Times New Roman" w:hAnsi="Times New Roman" w:cs="Times New Roman"/>
          <w:sz w:val="28"/>
          <w:szCs w:val="36"/>
          <w:u w:val="single"/>
          <w:lang w:val="en-US" w:eastAsia="zh-CN"/>
        </w:rPr>
        <w:tab/>
      </w:r>
      <w:r>
        <w:rPr>
          <w:rFonts w:hint="default" w:ascii="Times New Roman" w:hAnsi="Times New Roman" w:cs="Times New Roman"/>
          <w:sz w:val="28"/>
          <w:szCs w:val="36"/>
          <w:u w:val="none"/>
          <w:lang w:val="en-US" w:eastAsia="zh-CN"/>
        </w:rPr>
        <w:t>日</w:t>
      </w: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keepNext w:val="0"/>
        <w:keepLines w:val="0"/>
        <w:pageBreakBefore w:val="0"/>
        <w:widowControl w:val="0"/>
        <w:kinsoku/>
        <w:wordWrap/>
        <w:overflowPunct/>
        <w:topLinePunct w:val="0"/>
        <w:autoSpaceDE/>
        <w:autoSpaceDN/>
        <w:bidi w:val="0"/>
        <w:adjustRightInd/>
        <w:snapToGrid/>
        <w:spacing w:before="157" w:beforeLines="50" w:after="157" w:afterLines="50"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一、概况</w:t>
      </w:r>
    </w:p>
    <w:p>
      <w:pPr>
        <w:keepNext w:val="0"/>
        <w:keepLines w:val="0"/>
        <w:pageBreakBefore w:val="0"/>
        <w:widowControl w:val="0"/>
        <w:kinsoku/>
        <w:wordWrap/>
        <w:overflowPunct/>
        <w:topLinePunct w:val="0"/>
        <w:autoSpaceDE/>
        <w:autoSpaceDN/>
        <w:bidi w:val="0"/>
        <w:adjustRightInd/>
        <w:snapToGrid/>
        <w:spacing w:after="157" w:afterLines="50" w:line="300" w:lineRule="auto"/>
        <w:textAlignment w:val="auto"/>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lang w:val="en-US" w:eastAsia="zh-CN"/>
        </w:rPr>
        <w:t>1. 生产者信息</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65"/>
          <w:kern w:val="0"/>
          <w:fitText w:val="1911" w:id="1859985481"/>
          <w:lang w:val="en-US" w:eastAsia="zh-CN"/>
        </w:rPr>
        <w:t>生产者名称</w:t>
      </w:r>
      <w:r>
        <w:rPr>
          <w:rFonts w:hint="default" w:ascii="Times New Roman" w:hAnsi="Times New Roman" w:cs="Times New Roman"/>
          <w:spacing w:val="0"/>
          <w:kern w:val="0"/>
          <w:fitText w:val="1911" w:id="1859985481"/>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71"/>
          <w:kern w:val="0"/>
          <w:fitText w:val="1911" w:id="1397889989"/>
          <w:lang w:val="en-US" w:eastAsia="zh-CN"/>
        </w:rPr>
        <w:t>地    址</w:t>
      </w:r>
      <w:r>
        <w:rPr>
          <w:rFonts w:hint="default" w:ascii="Times New Roman" w:hAnsi="Times New Roman" w:cs="Times New Roman"/>
          <w:spacing w:val="4"/>
          <w:kern w:val="0"/>
          <w:fitText w:val="1911" w:id="1397889989"/>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65"/>
          <w:kern w:val="0"/>
          <w:fitText w:val="1911" w:id="1259608400"/>
          <w:lang w:val="en-US" w:eastAsia="zh-CN"/>
        </w:rPr>
        <w:t>法定代表人</w:t>
      </w:r>
      <w:r>
        <w:rPr>
          <w:rFonts w:hint="default" w:ascii="Times New Roman" w:hAnsi="Times New Roman" w:cs="Times New Roman"/>
          <w:spacing w:val="0"/>
          <w:kern w:val="0"/>
          <w:fitText w:val="1911" w:id="1259608400"/>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
          <w:kern w:val="0"/>
          <w:fitText w:val="1911" w:id="1445858692"/>
          <w:lang w:val="en-US" w:eastAsia="zh-CN"/>
        </w:rPr>
        <w:t>授权人（联系人）</w:t>
      </w:r>
      <w:r>
        <w:rPr>
          <w:rFonts w:hint="default" w:ascii="Times New Roman" w:hAnsi="Times New Roman" w:cs="Times New Roman"/>
          <w:spacing w:val="2"/>
          <w:kern w:val="0"/>
          <w:fitText w:val="1911" w:id="1445858692"/>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1718240941"/>
          <w:lang w:val="en-US" w:eastAsia="zh-CN"/>
        </w:rPr>
        <w:t>联系电话</w:t>
      </w:r>
      <w:r>
        <w:rPr>
          <w:rFonts w:hint="default" w:ascii="Times New Roman" w:hAnsi="Times New Roman" w:cs="Times New Roman"/>
          <w:spacing w:val="2"/>
          <w:kern w:val="0"/>
          <w:fitText w:val="1911" w:id="1718240941"/>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399114611"/>
          <w:lang w:val="en-US" w:eastAsia="zh-CN"/>
        </w:rPr>
        <w:t>公司概况</w:t>
      </w:r>
      <w:r>
        <w:rPr>
          <w:rFonts w:hint="default" w:ascii="Times New Roman" w:hAnsi="Times New Roman" w:cs="Times New Roman"/>
          <w:spacing w:val="2"/>
          <w:kern w:val="0"/>
          <w:fitText w:val="1911" w:id="399114611"/>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numPr>
          <w:ilvl w:val="0"/>
          <w:numId w:val="37"/>
        </w:numPr>
        <w:kinsoku/>
        <w:wordWrap/>
        <w:overflowPunct/>
        <w:topLinePunct w:val="0"/>
        <w:autoSpaceDE/>
        <w:autoSpaceDN/>
        <w:bidi w:val="0"/>
        <w:adjustRightInd/>
        <w:snapToGrid/>
        <w:spacing w:before="157" w:beforeLines="50" w:after="157" w:afterLines="50"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产品信息</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32332771"/>
          <w:lang w:val="en-US" w:eastAsia="zh-CN"/>
        </w:rPr>
        <w:t>产品名称</w:t>
      </w:r>
      <w:r>
        <w:rPr>
          <w:rFonts w:hint="default" w:ascii="Times New Roman" w:hAnsi="Times New Roman" w:cs="Times New Roman"/>
          <w:spacing w:val="2"/>
          <w:kern w:val="0"/>
          <w:fitText w:val="1911" w:id="32332771"/>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36"/>
          <w:kern w:val="0"/>
          <w:fitText w:val="1911" w:id="296378815"/>
          <w:lang w:val="en-US" w:eastAsia="zh-CN"/>
        </w:rPr>
        <w:t>产品规格型号</w:t>
      </w:r>
      <w:r>
        <w:rPr>
          <w:rFonts w:hint="default" w:ascii="Times New Roman" w:hAnsi="Times New Roman" w:cs="Times New Roman"/>
          <w:spacing w:val="4"/>
          <w:kern w:val="0"/>
          <w:fitText w:val="1911" w:id="296378815"/>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341574710"/>
          <w:lang w:val="en-US" w:eastAsia="zh-CN"/>
        </w:rPr>
        <w:t>产品功能</w:t>
      </w:r>
      <w:r>
        <w:rPr>
          <w:rFonts w:hint="default" w:ascii="Times New Roman" w:hAnsi="Times New Roman" w:cs="Times New Roman"/>
          <w:spacing w:val="2"/>
          <w:kern w:val="0"/>
          <w:fitText w:val="1911" w:id="341574710"/>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716775541"/>
          <w:lang w:val="en-US" w:eastAsia="zh-CN"/>
        </w:rPr>
        <w:t>产品图片</w:t>
      </w:r>
      <w:r>
        <w:rPr>
          <w:rFonts w:hint="default" w:ascii="Times New Roman" w:hAnsi="Times New Roman" w:cs="Times New Roman"/>
          <w:spacing w:val="2"/>
          <w:kern w:val="0"/>
          <w:fitText w:val="1911" w:id="716775541"/>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numPr>
          <w:ilvl w:val="0"/>
          <w:numId w:val="37"/>
        </w:numPr>
        <w:kinsoku/>
        <w:wordWrap/>
        <w:overflowPunct/>
        <w:topLinePunct w:val="0"/>
        <w:autoSpaceDE/>
        <w:autoSpaceDN/>
        <w:bidi w:val="0"/>
        <w:adjustRightInd/>
        <w:snapToGrid/>
        <w:spacing w:before="157" w:beforeLines="50" w:after="157" w:afterLines="50" w:line="300" w:lineRule="auto"/>
        <w:ind w:left="0" w:leftChars="0" w:firstLine="0" w:firstLineChars="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量化方法</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1193612211"/>
          <w:lang w:val="en-US" w:eastAsia="zh-CN"/>
        </w:rPr>
        <w:t>依据标准</w:t>
      </w:r>
      <w:r>
        <w:rPr>
          <w:rFonts w:hint="default" w:ascii="Times New Roman" w:hAnsi="Times New Roman" w:cs="Times New Roman"/>
          <w:spacing w:val="2"/>
          <w:kern w:val="0"/>
          <w:fitText w:val="1911" w:id="1193612211"/>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before="157" w:beforeLines="50" w:after="157" w:afterLines="50" w:line="300" w:lineRule="auto"/>
        <w:textAlignment w:val="auto"/>
        <w:rPr>
          <w:rFonts w:hint="default" w:ascii="Times New Roman" w:hAnsi="Times New Roman" w:cs="Times New Roman"/>
          <w:lang w:val="en-US" w:eastAsia="zh-CN"/>
        </w:rPr>
      </w:pPr>
      <w:r>
        <w:rPr>
          <w:rFonts w:hint="default" w:ascii="Times New Roman" w:hAnsi="Times New Roman" w:eastAsia="黑体" w:cs="Times New Roman"/>
          <w:lang w:val="en-US" w:eastAsia="zh-CN"/>
        </w:rPr>
        <w:t>二、量化目的</w:t>
      </w:r>
    </w:p>
    <w:p>
      <w:pPr>
        <w:rPr>
          <w:rFonts w:hint="default" w:ascii="Times New Roman" w:hAnsi="Times New Roman" w:cs="Times New Roman"/>
          <w:lang w:val="en-US" w:eastAsia="zh-CN"/>
        </w:rPr>
      </w:pPr>
      <w:r>
        <w:rPr>
          <w:rFonts w:hint="default" w:ascii="Times New Roman" w:hAnsi="Times New Roman" w:cs="Times New Roman"/>
          <w:lang w:val="en-US" w:eastAsia="zh-CN"/>
        </w:rPr>
        <w:t>____________________________________________</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Times New Roman" w:hAnsi="Times New Roman" w:cs="Times New Roman"/>
          <w:lang w:val="en-US" w:eastAsia="zh-CN"/>
        </w:rPr>
      </w:pPr>
      <w:r>
        <w:rPr>
          <w:rFonts w:hint="default" w:ascii="Times New Roman" w:hAnsi="Times New Roman" w:eastAsia="黑体" w:cs="Times New Roman"/>
          <w:lang w:val="en-US" w:eastAsia="zh-CN"/>
        </w:rPr>
        <w:t>三、量化范围</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1. 功能单位</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以1m³_____产品为功能单位。</w:t>
      </w:r>
    </w:p>
    <w:p>
      <w:pPr>
        <w:keepNext w:val="0"/>
        <w:keepLines w:val="0"/>
        <w:pageBreakBefore w:val="0"/>
        <w:widowControl w:val="0"/>
        <w:numPr>
          <w:ilvl w:val="0"/>
          <w:numId w:val="38"/>
        </w:numPr>
        <w:kinsoku/>
        <w:wordWrap/>
        <w:overflowPunct/>
        <w:topLinePunct w:val="0"/>
        <w:autoSpaceDE/>
        <w:autoSpaceDN/>
        <w:bidi w:val="0"/>
        <w:adjustRightInd/>
        <w:snapToGrid/>
        <w:spacing w:before="157" w:beforeLines="50" w:after="157" w:afterLines="5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系统边界</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sym w:font="Wingdings" w:char="00A8"/>
      </w:r>
      <w:r>
        <w:rPr>
          <w:rFonts w:hint="default" w:ascii="Times New Roman" w:hAnsi="Times New Roman" w:cs="Times New Roman"/>
          <w:lang w:val="en-US" w:eastAsia="zh-CN"/>
        </w:rPr>
        <w:t>原材料获取阶段</w:t>
      </w:r>
      <w:r>
        <w:rPr>
          <w:rFonts w:hint="default" w:ascii="Times New Roman" w:hAnsi="Times New Roman" w:cs="Times New Roman"/>
          <w:lang w:val="en-US" w:eastAsia="zh-CN"/>
        </w:rPr>
        <w:tab/>
      </w:r>
      <w:r>
        <w:rPr>
          <w:rFonts w:hint="default" w:ascii="Times New Roman" w:hAnsi="Times New Roman" w:cs="Times New Roman"/>
          <w:lang w:val="en-US" w:eastAsia="zh-CN"/>
        </w:rPr>
        <w:tab/>
      </w:r>
      <w:r>
        <w:rPr>
          <w:rFonts w:hint="default" w:ascii="Times New Roman" w:hAnsi="Times New Roman" w:cs="Times New Roman"/>
          <w:lang w:val="en-US" w:eastAsia="zh-CN"/>
        </w:rPr>
        <w:sym w:font="Wingdings" w:char="00A8"/>
      </w:r>
      <w:r>
        <w:rPr>
          <w:rFonts w:hint="default" w:ascii="Times New Roman" w:hAnsi="Times New Roman" w:cs="Times New Roman"/>
          <w:lang w:val="en-US" w:eastAsia="zh-CN"/>
        </w:rPr>
        <w:t>生产制造阶段</w:t>
      </w:r>
      <w:r>
        <w:rPr>
          <w:rFonts w:hint="default" w:ascii="Times New Roman" w:hAnsi="Times New Roman" w:cs="Times New Roman"/>
          <w:lang w:val="en-US" w:eastAsia="zh-CN"/>
        </w:rPr>
        <w:tab/>
      </w:r>
      <w:r>
        <w:rPr>
          <w:rFonts w:hint="default" w:ascii="Times New Roman" w:hAnsi="Times New Roman" w:cs="Times New Roman"/>
          <w:lang w:val="en-US" w:eastAsia="zh-CN"/>
        </w:rPr>
        <w:tab/>
      </w:r>
      <w:r>
        <w:rPr>
          <w:rFonts w:hint="default" w:ascii="Times New Roman" w:hAnsi="Times New Roman" w:cs="Times New Roman"/>
          <w:lang w:val="en-US" w:eastAsia="zh-CN"/>
        </w:rPr>
        <w:sym w:font="Wingdings" w:char="00A8"/>
      </w:r>
      <w:r>
        <w:rPr>
          <w:rFonts w:hint="default" w:ascii="Times New Roman" w:hAnsi="Times New Roman" w:cs="Times New Roman"/>
          <w:lang w:val="en-US" w:eastAsia="zh-CN"/>
        </w:rPr>
        <w:t>施工阶段</w:t>
      </w:r>
      <w:r>
        <w:rPr>
          <w:rFonts w:hint="default" w:ascii="Times New Roman" w:hAnsi="Times New Roman" w:cs="Times New Roman"/>
          <w:lang w:val="en-US" w:eastAsia="zh-CN"/>
        </w:rPr>
        <w:tab/>
      </w:r>
      <w:r>
        <w:rPr>
          <w:rFonts w:hint="default" w:ascii="Times New Roman" w:hAnsi="Times New Roman" w:cs="Times New Roman"/>
          <w:lang w:val="en-US" w:eastAsia="zh-CN"/>
        </w:rPr>
        <w:tab/>
      </w:r>
      <w:r>
        <w:rPr>
          <w:rFonts w:hint="default" w:ascii="Times New Roman" w:hAnsi="Times New Roman" w:cs="Times New Roman"/>
          <w:lang w:val="en-US" w:eastAsia="zh-CN"/>
        </w:rPr>
        <w:sym w:font="Wingdings" w:char="00A8"/>
      </w:r>
      <w:r>
        <w:rPr>
          <w:rFonts w:hint="default" w:ascii="Times New Roman" w:hAnsi="Times New Roman" w:cs="Times New Roman"/>
          <w:lang w:val="en-US" w:eastAsia="zh-CN"/>
        </w:rPr>
        <w:t>生命末期阶段</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系统边界见图F.1。</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 xml:space="preserve">图F.1 </w:t>
      </w:r>
      <w:r>
        <w:rPr>
          <w:rFonts w:hint="default" w:ascii="Times New Roman" w:hAnsi="Times New Roman" w:cs="Times New Roman"/>
          <w:lang w:val="en-US" w:eastAsia="zh-CN"/>
        </w:rPr>
        <w:t>____</w:t>
      </w:r>
      <w:r>
        <w:rPr>
          <w:rFonts w:hint="default" w:ascii="Times New Roman" w:hAnsi="Times New Roman" w:eastAsia="黑体" w:cs="Times New Roman"/>
          <w:lang w:val="en-US" w:eastAsia="zh-CN"/>
        </w:rPr>
        <w:t>产品碳足迹量化系统边界</w:t>
      </w:r>
    </w:p>
    <w:p>
      <w:pPr>
        <w:keepNext w:val="0"/>
        <w:keepLines w:val="0"/>
        <w:pageBreakBefore w:val="0"/>
        <w:widowControl w:val="0"/>
        <w:numPr>
          <w:ilvl w:val="0"/>
          <w:numId w:val="38"/>
        </w:numPr>
        <w:kinsoku/>
        <w:wordWrap/>
        <w:overflowPunct/>
        <w:topLinePunct w:val="0"/>
        <w:autoSpaceDE/>
        <w:autoSpaceDN/>
        <w:bidi w:val="0"/>
        <w:adjustRightInd/>
        <w:snapToGrid/>
        <w:spacing w:line="300" w:lineRule="auto"/>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eastAsia="黑体" w:cs="Times New Roman"/>
          <w:lang w:val="en-US" w:eastAsia="zh-CN"/>
        </w:rPr>
        <w:t>取舍准则</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采取的取舍准则以______________________为依据，具体规则如下：</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4. 时间范围</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______年度。</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四、清单分析</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1. 数据来源说明</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1004605602"/>
          <w:lang w:val="en-US" w:eastAsia="zh-CN"/>
        </w:rPr>
        <w:t>初级数据</w:t>
      </w:r>
      <w:r>
        <w:rPr>
          <w:rFonts w:hint="default" w:ascii="Times New Roman" w:hAnsi="Times New Roman" w:cs="Times New Roman"/>
          <w:spacing w:val="2"/>
          <w:kern w:val="0"/>
          <w:fitText w:val="1911" w:id="1004605602"/>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1066355056"/>
          <w:lang w:val="en-US" w:eastAsia="zh-CN"/>
        </w:rPr>
        <w:t>次级数据</w:t>
      </w:r>
      <w:r>
        <w:rPr>
          <w:rFonts w:hint="default" w:ascii="Times New Roman" w:hAnsi="Times New Roman" w:cs="Times New Roman"/>
          <w:spacing w:val="2"/>
          <w:kern w:val="0"/>
          <w:fitText w:val="1911" w:id="1066355056"/>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numPr>
          <w:ilvl w:val="0"/>
          <w:numId w:val="39"/>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分配原则与程序</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1121540793"/>
          <w:lang w:val="en-US" w:eastAsia="zh-CN"/>
        </w:rPr>
        <w:t>分配原则</w:t>
      </w:r>
      <w:r>
        <w:rPr>
          <w:rFonts w:hint="default" w:ascii="Times New Roman" w:hAnsi="Times New Roman" w:cs="Times New Roman"/>
          <w:spacing w:val="2"/>
          <w:kern w:val="0"/>
          <w:fitText w:val="1911" w:id="1121540793"/>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spacing w:val="107"/>
          <w:kern w:val="0"/>
          <w:fitText w:val="1911" w:id="137955093"/>
          <w:lang w:val="en-US" w:eastAsia="zh-CN"/>
        </w:rPr>
        <w:t>分配程序</w:t>
      </w:r>
      <w:r>
        <w:rPr>
          <w:rFonts w:hint="default" w:ascii="Times New Roman" w:hAnsi="Times New Roman" w:cs="Times New Roman"/>
          <w:spacing w:val="2"/>
          <w:kern w:val="0"/>
          <w:fitText w:val="1911" w:id="137955093"/>
          <w:lang w:val="en-US" w:eastAsia="zh-CN"/>
        </w:rPr>
        <w:t>：</w:t>
      </w:r>
      <w:r>
        <w:rPr>
          <w:rFonts w:hint="default" w:ascii="Times New Roman" w:hAnsi="Times New Roman" w:cs="Times New Roman"/>
          <w:lang w:val="en-US" w:eastAsia="zh-CN"/>
        </w:rPr>
        <w:t>__________________________。</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具体分配情况如下：</w:t>
      </w:r>
    </w:p>
    <w:p>
      <w:pPr>
        <w:keepNext w:val="0"/>
        <w:keepLines w:val="0"/>
        <w:pageBreakBefore w:val="0"/>
        <w:widowControl w:val="0"/>
        <w:numPr>
          <w:ilvl w:val="0"/>
          <w:numId w:val="39"/>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清单结果及计算</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20" w:firstLineChars="200"/>
        <w:jc w:val="both"/>
        <w:textAlignment w:val="auto"/>
        <w:rPr>
          <w:rFonts w:hint="default" w:ascii="Times New Roman" w:hAnsi="Times New Roman" w:eastAsia="黑体" w:cs="Times New Roman"/>
          <w:lang w:val="en-US" w:eastAsia="zh-CN"/>
        </w:rPr>
      </w:pPr>
      <w:r>
        <w:rPr>
          <w:rFonts w:hint="default" w:ascii="Times New Roman" w:hAnsi="Times New Roman" w:cs="Times New Roman"/>
          <w:lang w:val="en-US" w:eastAsia="zh-CN"/>
        </w:rPr>
        <w:t>生命周期各个阶段碳排放计算说明见表F.1。</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rPr>
          <w:rFonts w:hint="default" w:ascii="Times New Roman" w:hAnsi="Times New Roman" w:eastAsia="黑体"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表F.1 预制构件生命周期碳排放清单说明</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766"/>
        <w:gridCol w:w="1723"/>
        <w:gridCol w:w="2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生命周期阶段</w:t>
            </w: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活动数据</w:t>
            </w: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排放因子</w:t>
            </w: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温室气体量（kg/功能单位）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原材料获取</w:t>
            </w: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生产制造</w:t>
            </w: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施工</w:t>
            </w: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生命末期</w:t>
            </w: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66"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172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903" w:type="dxa"/>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bl>
    <w:p>
      <w:pPr>
        <w:keepNext w:val="0"/>
        <w:keepLines w:val="0"/>
        <w:pageBreakBefore w:val="0"/>
        <w:widowControl w:val="0"/>
        <w:numPr>
          <w:ilvl w:val="0"/>
          <w:numId w:val="39"/>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数据质量评价（可选项）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数据质量可从定性和定量两个方面对报告使用的初级数据和次级数据进行评价，具体评价内容包括：数据来源、完整性、数据代表性（时间、地理、技术）和准确性。</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五、影响评价</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1. 影响类型和特征化因子选择</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一般选择联合国政府间气候变化专门委员会（IPCC)给出的100年全球变暖潜势（GWP）。</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2. 产品碳足迹结果计算</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六、结果解释</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1. 结果说明</w:t>
      </w:r>
    </w:p>
    <w:p>
      <w:pPr>
        <w:keepNext w:val="0"/>
        <w:keepLines w:val="0"/>
        <w:pageBreakBefore w:val="0"/>
        <w:widowControl w:val="0"/>
        <w:kinsoku/>
        <w:wordWrap/>
        <w:overflowPunct/>
        <w:topLinePunct w:val="0"/>
        <w:autoSpaceDE/>
        <w:autoSpaceDN/>
        <w:bidi w:val="0"/>
        <w:adjustRightInd/>
        <w:snapToGrid/>
        <w:spacing w:line="300" w:lineRule="auto"/>
        <w:ind w:firstLine="42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_______公司生产的_______（填写所评价的产品名称），从_______（填写某生命周期阶段）到_______（填写某生命周期阶段）生命周期碳足迹为_______kgCO</w:t>
      </w:r>
      <w:r>
        <w:rPr>
          <w:rFonts w:hint="default" w:ascii="Times New Roman" w:hAnsi="Times New Roman" w:cs="Times New Roman"/>
          <w:vertAlign w:val="subscript"/>
          <w:lang w:val="en-US" w:eastAsia="zh-CN"/>
        </w:rPr>
        <w:t>2</w:t>
      </w:r>
      <w:r>
        <w:rPr>
          <w:rFonts w:hint="default" w:ascii="Times New Roman" w:hAnsi="Times New Roman" w:cs="Times New Roman"/>
          <w:lang w:val="en-US" w:eastAsia="zh-CN"/>
        </w:rPr>
        <w:t>e。各生命周期阶段的温室气体排放情况见表F.2和图F.2。</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表F.2 ______产品生命周期各阶段碳排放情况</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生命周期阶段</w:t>
            </w: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碳足迹/（kgCO</w:t>
            </w:r>
            <w:r>
              <w:rPr>
                <w:rFonts w:hint="default" w:ascii="Times New Roman" w:hAnsi="Times New Roman" w:cs="Times New Roman"/>
                <w:vertAlign w:val="subscript"/>
                <w:lang w:val="en-US" w:eastAsia="zh-CN"/>
              </w:rPr>
              <w:t>2</w:t>
            </w:r>
            <w:r>
              <w:rPr>
                <w:rFonts w:hint="default" w:ascii="Times New Roman" w:hAnsi="Times New Roman" w:cs="Times New Roman"/>
                <w:vertAlign w:val="baseline"/>
                <w:lang w:val="en-US" w:eastAsia="zh-CN"/>
              </w:rPr>
              <w:t>e/功能单位）</w:t>
            </w: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原材料获取</w:t>
            </w: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生产制造</w:t>
            </w: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施工</w:t>
            </w: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生命</w:t>
            </w:r>
            <w:r>
              <w:rPr>
                <w:rFonts w:hint="eastAsia" w:ascii="Times New Roman" w:hAnsi="Times New Roman" w:cs="Times New Roman"/>
                <w:vertAlign w:val="baseline"/>
                <w:lang w:val="en-US" w:eastAsia="zh-CN"/>
              </w:rPr>
              <w:t>末期</w:t>
            </w: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总计</w:t>
            </w: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c>
          <w:tcPr>
            <w:tcW w:w="2841" w:type="dxa"/>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产品生命周期阶段温室气体气体排放分布图以饼状图表示，见图F.2。</w:t>
      </w:r>
    </w:p>
    <w:p>
      <w:pPr>
        <w:keepNext w:val="0"/>
        <w:keepLines w:val="0"/>
        <w:pageBreakBefore w:val="0"/>
        <w:widowControl w:val="0"/>
        <w:kinsoku/>
        <w:wordWrap/>
        <w:overflowPunct/>
        <w:topLinePunct w:val="0"/>
        <w:autoSpaceDE/>
        <w:autoSpaceDN/>
        <w:bidi w:val="0"/>
        <w:adjustRightInd/>
        <w:snapToGrid/>
        <w:spacing w:line="300" w:lineRule="auto"/>
        <w:jc w:val="lef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图F.2 ______产品各生命周期阶段碳排放分布图</w:t>
      </w:r>
    </w:p>
    <w:p>
      <w:pPr>
        <w:keepNext w:val="0"/>
        <w:keepLines w:val="0"/>
        <w:pageBreakBefore w:val="0"/>
        <w:widowControl w:val="0"/>
        <w:numPr>
          <w:ilvl w:val="0"/>
          <w:numId w:val="40"/>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假设和局限性说明</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结合量化情况，对范围、数据选抒、情景设定等相关的假设和局限进行说明。。</w:t>
      </w:r>
    </w:p>
    <w:p>
      <w:pPr>
        <w:keepNext w:val="0"/>
        <w:keepLines w:val="0"/>
        <w:pageBreakBefore w:val="0"/>
        <w:widowControl w:val="0"/>
        <w:numPr>
          <w:ilvl w:val="0"/>
          <w:numId w:val="40"/>
        </w:numPr>
        <w:kinsoku/>
        <w:wordWrap/>
        <w:overflowPunct/>
        <w:topLinePunct w:val="0"/>
        <w:autoSpaceDE/>
        <w:autoSpaceDN/>
        <w:bidi w:val="0"/>
        <w:adjustRightInd/>
        <w:snapToGrid/>
        <w:spacing w:line="300" w:lineRule="auto"/>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改进建议</w:t>
      </w:r>
    </w:p>
    <w:p>
      <w:pPr>
        <w:pStyle w:val="14"/>
        <w:rPr>
          <w:rFonts w:hint="default" w:ascii="Times New Roman" w:hAnsi="Times New Roman" w:cs="Times New Roman"/>
          <w:lang w:val="en-US" w:eastAsia="zh-CN"/>
        </w:rPr>
      </w:pPr>
    </w:p>
    <w:p>
      <w:pPr>
        <w:spacing w:before="640" w:after="560" w:line="460" w:lineRule="exact"/>
        <w:ind w:right="-199" w:rightChars="-95" w:firstLine="420" w:firstLineChars="200"/>
        <w:jc w:val="center"/>
        <w:outlineLvl w:val="0"/>
        <w:rPr>
          <w:rFonts w:ascii="Times New Roman" w:hAnsi="Times New Roman" w:eastAsia="黑体"/>
        </w:rPr>
      </w:pPr>
      <w:r>
        <w:rPr>
          <w:rFonts w:ascii="Times New Roman" w:hAnsi="Times New Roman" w:eastAsia="黑体"/>
        </w:rPr>
        <w:t>参 考 文 献</w:t>
      </w:r>
    </w:p>
    <w:p>
      <w:pPr>
        <w:pStyle w:val="237"/>
        <w:numPr>
          <w:ilvl w:val="0"/>
          <w:numId w:val="41"/>
        </w:numPr>
        <w:ind w:right="-199" w:rightChars="-95"/>
        <w:rPr>
          <w:rFonts w:ascii="Times New Roman"/>
        </w:rPr>
      </w:pPr>
      <w:r>
        <w:rPr>
          <w:rFonts w:hint="default" w:ascii="Times New Roman" w:hAnsi="Times New Roman" w:cs="Times New Roman"/>
          <w:lang w:val="en-US" w:eastAsia="zh-CN"/>
        </w:rPr>
        <w:t>GB/T32150-2015 工业企业温室气体排放核算和报告通则</w:t>
      </w:r>
    </w:p>
    <w:p>
      <w:pPr>
        <w:pStyle w:val="237"/>
        <w:numPr>
          <w:ilvl w:val="0"/>
          <w:numId w:val="41"/>
        </w:numPr>
        <w:ind w:right="-199" w:rightChars="-95"/>
        <w:rPr>
          <w:rFonts w:ascii="Times New Roman"/>
        </w:rPr>
      </w:pPr>
      <w:r>
        <w:rPr>
          <w:rFonts w:ascii="Times New Roman"/>
        </w:rPr>
        <w:t xml:space="preserve">GB/T 32150-20155 </w:t>
      </w:r>
      <w:r>
        <w:rPr>
          <w:rFonts w:hint="default" w:ascii="Times New Roman" w:hAnsi="Times New Roman" w:cs="Times New Roman"/>
          <w:lang w:val="en-US" w:eastAsia="zh-CN"/>
        </w:rPr>
        <w:t>GB/T24067-2024 温室气体 产品碳足迹 量化要求和指南</w:t>
      </w:r>
    </w:p>
    <w:p>
      <w:pPr>
        <w:pStyle w:val="237"/>
        <w:numPr>
          <w:ilvl w:val="0"/>
          <w:numId w:val="41"/>
        </w:numPr>
        <w:ind w:right="-199" w:rightChars="-95"/>
        <w:rPr>
          <w:rFonts w:hint="default" w:ascii="Times New Roman" w:hAnsi="Times New Roman" w:cs="Times New Roman"/>
          <w:lang w:val="en-US" w:eastAsia="zh-CN"/>
        </w:rPr>
      </w:pPr>
      <w:r>
        <w:rPr>
          <w:rFonts w:hint="default" w:ascii="Times New Roman" w:hAnsi="Times New Roman" w:cs="Times New Roman"/>
          <w:lang w:val="en-US" w:eastAsia="zh-CN"/>
        </w:rPr>
        <w:t>1S0 14026:2017 Environmental labels and declarations-Principles, requirements and guide-lines for communication of footprint information</w:t>
      </w:r>
    </w:p>
    <w:p>
      <w:pPr>
        <w:pStyle w:val="237"/>
        <w:numPr>
          <w:ilvl w:val="0"/>
          <w:numId w:val="41"/>
        </w:numPr>
        <w:ind w:right="-199" w:rightChars="-95"/>
        <w:rPr>
          <w:rFonts w:hint="default" w:ascii="Times New Roman" w:hAnsi="Times New Roman" w:cs="Times New Roman"/>
          <w:lang w:val="en-US" w:eastAsia="zh-CN"/>
        </w:rPr>
      </w:pPr>
      <w:r>
        <w:rPr>
          <w:rFonts w:hint="default" w:ascii="Times New Roman" w:hAnsi="Times New Roman" w:cs="Times New Roman"/>
          <w:lang w:val="en-US" w:eastAsia="zh-CN"/>
        </w:rPr>
        <w:t>ISO/TS 14027:2017 Environmental labels and declarations-Development of product category rules</w:t>
      </w:r>
    </w:p>
    <w:p>
      <w:pPr>
        <w:pStyle w:val="237"/>
        <w:numPr>
          <w:ilvl w:val="0"/>
          <w:numId w:val="41"/>
        </w:numPr>
        <w:ind w:right="-199" w:rightChars="-95"/>
        <w:rPr>
          <w:rFonts w:hint="default" w:ascii="Times New Roman" w:hAnsi="Times New Roman" w:cs="Times New Roman"/>
          <w:lang w:val="en-US" w:eastAsia="zh-CN"/>
        </w:rPr>
      </w:pPr>
      <w:r>
        <w:rPr>
          <w:rFonts w:hint="default" w:ascii="Times New Roman" w:hAnsi="Times New Roman" w:cs="Times New Roman"/>
          <w:lang w:val="en-US" w:eastAsia="zh-CN"/>
        </w:rPr>
        <w:t>1S0/TS 14067:2018 Greenhouse gases-Carbon footprint of products-Requirements andguidelines for quantification and communication</w:t>
      </w:r>
    </w:p>
    <w:p>
      <w:pPr>
        <w:pStyle w:val="237"/>
        <w:numPr>
          <w:ilvl w:val="0"/>
          <w:numId w:val="41"/>
        </w:numPr>
        <w:ind w:right="-199" w:rightChars="-95"/>
        <w:rPr>
          <w:rFonts w:hint="default" w:ascii="Times New Roman" w:hAnsi="Times New Roman" w:cs="Times New Roman"/>
          <w:lang w:val="en-US" w:eastAsia="zh-CN"/>
        </w:rPr>
      </w:pPr>
      <w:r>
        <w:rPr>
          <w:rFonts w:hint="default" w:ascii="Times New Roman" w:hAnsi="Times New Roman" w:cs="Times New Roman"/>
          <w:lang w:val="en-US" w:eastAsia="zh-CN"/>
        </w:rPr>
        <w:t>PAS 2050:2008 $pecification for the assessment of the life cyele greenhouse emissions ofgoods and services</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400" w:right="1301" w:bottom="1450" w:left="1334" w:header="0" w:footer="1262" w:gutter="0"/>
          <w:cols w:space="720" w:num="1"/>
        </w:sectPr>
      </w:pPr>
    </w:p>
    <w:bookmarkEnd w:id="103"/>
    <w:bookmarkEnd w:id="219"/>
    <w:p>
      <w:pPr>
        <w:pStyle w:val="204"/>
        <w:numPr>
          <w:ilvl w:val="0"/>
          <w:numId w:val="0"/>
        </w:numPr>
        <w:jc w:val="both"/>
        <w:rPr>
          <w:rFonts w:hint="default" w:ascii="Times New Roman" w:hAnsi="Times New Roman" w:cs="Times New Roman"/>
        </w:rPr>
      </w:pPr>
      <w:bookmarkStart w:id="261" w:name="_Toc10660"/>
      <w:bookmarkEnd w:id="261"/>
      <w:bookmarkStart w:id="262" w:name="_Toc10064"/>
      <w:bookmarkEnd w:id="262"/>
    </w:p>
    <w:sectPr>
      <w:headerReference r:id="rId7" w:type="default"/>
      <w:footerReference r:id="rId8" w:type="default"/>
      <w:pgSz w:w="11906" w:h="16838"/>
      <w:pgMar w:top="2410"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方正黑体_GBK">
    <w:panose1 w:val="02000000000000000000"/>
    <w:charset w:val="86"/>
    <w:family w:val="auto"/>
    <w:pitch w:val="default"/>
    <w:sig w:usb0="A00002BF" w:usb1="38CF7CFA" w:usb2="00082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rPr>
                              <w:rFonts w:hint="eastAsia"/>
                            </w:rPr>
                            <w:t>II</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18"/>
                    </w:pPr>
                    <w:r>
                      <w:rPr>
                        <w:rFonts w:hint="eastAsia"/>
                      </w:rPr>
                      <w:t>II</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exact"/>
      <w:ind w:left="8790"/>
      <w:rPr>
        <w:rFonts w:hint="eastAsia" w:ascii="微软雅黑" w:hAnsi="微软雅黑" w:eastAsia="微软雅黑" w:cs="微软雅黑"/>
        <w:sz w:val="16"/>
        <w:szCs w:val="16"/>
      </w:rPr>
    </w:pPr>
    <w:r>
      <w:rPr>
        <w:sz w:val="1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V</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BC83F2"/>
    <w:multiLevelType w:val="multilevel"/>
    <w:tmpl w:val="94BC83F2"/>
    <w:lvl w:ilvl="0" w:tentative="0">
      <w:start w:val="1"/>
      <w:numFmt w:val="none"/>
      <w:pStyle w:val="158"/>
      <w:suff w:val="nothing"/>
      <w:lvlText w:val="1.0.1"/>
      <w:lvlJc w:val="left"/>
      <w:pPr>
        <w:ind w:left="0" w:firstLine="0"/>
      </w:pPr>
      <w:rPr>
        <w:rFonts w:hint="default" w:ascii="宋体" w:hAnsi="宋体" w:eastAsia="宋体" w:cs="宋体"/>
      </w:rPr>
    </w:lvl>
    <w:lvl w:ilvl="1" w:tentative="0">
      <w:start w:val="1"/>
      <w:numFmt w:val="decimal"/>
      <w:pStyle w:val="110"/>
      <w:suff w:val="nothing"/>
      <w:lvlText w:val="%1%2　"/>
      <w:lvlJc w:val="left"/>
      <w:pPr>
        <w:ind w:left="0" w:firstLine="0"/>
      </w:pPr>
      <w:rPr>
        <w:rFonts w:hint="default" w:ascii="黑体" w:hAnsi="黑体" w:eastAsia="黑体" w:cs="黑体"/>
        <w:b w:val="0"/>
        <w:bCs w:val="0"/>
        <w:i w:val="0"/>
        <w:sz w:val="21"/>
      </w:rPr>
    </w:lvl>
    <w:lvl w:ilvl="2" w:tentative="0">
      <w:start w:val="1"/>
      <w:numFmt w:val="decimal"/>
      <w:pStyle w:val="111"/>
      <w:suff w:val="nothing"/>
      <w:lvlText w:val="%1%2.%3　"/>
      <w:lvlJc w:val="left"/>
      <w:pPr>
        <w:ind w:left="0" w:firstLine="0"/>
      </w:pPr>
      <w:rPr>
        <w:rFonts w:hint="default" w:ascii="黑体" w:hAnsi="黑体" w:eastAsia="黑体" w:cs="黑体"/>
        <w:b w:val="0"/>
        <w:bCs w:val="0"/>
        <w:i w:val="0"/>
        <w:iCs w:val="0"/>
        <w:caps w:val="0"/>
        <w:smallCaps w:val="0"/>
        <w:strike w:val="0"/>
        <w:dstrike w:val="0"/>
        <w:vanish w:val="0"/>
        <w:color w:val="auto"/>
        <w:spacing w:val="0"/>
        <w:kern w:val="0"/>
        <w:position w:val="0"/>
        <w:sz w:val="21"/>
        <w:u w:val="none"/>
        <w:vertAlign w:val="baseline"/>
      </w:rPr>
    </w:lvl>
    <w:lvl w:ilvl="3" w:tentative="0">
      <w:start w:val="1"/>
      <w:numFmt w:val="decimal"/>
      <w:pStyle w:val="71"/>
      <w:suff w:val="nothing"/>
      <w:lvlText w:val="%1%2.%3.%4　"/>
      <w:lvlJc w:val="left"/>
      <w:pPr>
        <w:tabs>
          <w:tab w:val="left" w:pos="0"/>
        </w:tabs>
        <w:ind w:left="0" w:firstLine="0"/>
      </w:pPr>
      <w:rPr>
        <w:rFonts w:hint="default" w:ascii="黑体" w:hAnsi="黑体" w:eastAsia="黑体" w:cs="黑体"/>
        <w:b w:val="0"/>
        <w:bCs w:val="0"/>
        <w:i w:val="0"/>
        <w:sz w:val="21"/>
      </w:rPr>
    </w:lvl>
    <w:lvl w:ilvl="4" w:tentative="0">
      <w:start w:val="1"/>
      <w:numFmt w:val="decimal"/>
      <w:pStyle w:val="100"/>
      <w:suff w:val="nothing"/>
      <w:lvlText w:val="%1%2.%3.%4.%5　"/>
      <w:lvlJc w:val="left"/>
      <w:pPr>
        <w:ind w:left="0" w:firstLine="0"/>
      </w:pPr>
      <w:rPr>
        <w:rFonts w:hint="default" w:ascii="宋体" w:hAnsi="宋体" w:eastAsia="宋体" w:cs="宋体"/>
        <w:b w:val="0"/>
        <w:i w:val="0"/>
        <w:sz w:val="21"/>
      </w:rPr>
    </w:lvl>
    <w:lvl w:ilvl="5" w:tentative="0">
      <w:start w:val="1"/>
      <w:numFmt w:val="decimal"/>
      <w:pStyle w:val="104"/>
      <w:suff w:val="nothing"/>
      <w:lvlText w:val="%1%2.%3.%4.%5.%6　"/>
      <w:lvlJc w:val="left"/>
      <w:pPr>
        <w:ind w:left="0" w:firstLine="0"/>
      </w:pPr>
      <w:rPr>
        <w:rFonts w:hint="default" w:ascii="宋体" w:hAnsi="宋体" w:eastAsia="宋体" w:cs="宋体"/>
        <w:b w:val="0"/>
        <w:i w:val="0"/>
        <w:sz w:val="21"/>
      </w:rPr>
    </w:lvl>
    <w:lvl w:ilvl="6" w:tentative="0">
      <w:start w:val="1"/>
      <w:numFmt w:val="decimal"/>
      <w:pStyle w:val="109"/>
      <w:suff w:val="nothing"/>
      <w:lvlText w:val="%1%2.%3.%4.%5.%6.%7　"/>
      <w:lvlJc w:val="left"/>
      <w:pPr>
        <w:tabs>
          <w:tab w:val="left" w:pos="4348"/>
        </w:tabs>
        <w:ind w:left="0" w:firstLine="0"/>
      </w:pPr>
      <w:rPr>
        <w:rFonts w:hint="default" w:ascii="宋体" w:hAnsi="宋体" w:eastAsia="宋体" w:cs="宋体"/>
        <w:b w:val="0"/>
        <w:i w:val="0"/>
        <w:sz w:val="21"/>
      </w:rPr>
    </w:lvl>
    <w:lvl w:ilvl="7" w:tentative="0">
      <w:start w:val="1"/>
      <w:numFmt w:val="decimal"/>
      <w:lvlText w:val="%1.%2.%3.%4.%5.%6.%7.%8"/>
      <w:lvlJc w:val="left"/>
      <w:pPr>
        <w:tabs>
          <w:tab w:val="left" w:pos="4351"/>
        </w:tabs>
        <w:ind w:left="3969" w:hanging="1418"/>
      </w:pPr>
      <w:rPr>
        <w:rFonts w:hint="default" w:ascii="宋体" w:hAnsi="宋体" w:eastAsia="宋体" w:cs="宋体"/>
      </w:rPr>
    </w:lvl>
    <w:lvl w:ilvl="8" w:tentative="0">
      <w:start w:val="1"/>
      <w:numFmt w:val="decimal"/>
      <w:lvlText w:val="%1.%2.%3.%4.%5.%6.%7.%8.%9"/>
      <w:lvlJc w:val="left"/>
      <w:pPr>
        <w:tabs>
          <w:tab w:val="left" w:pos="420"/>
        </w:tabs>
        <w:ind w:left="4677" w:hanging="1700"/>
      </w:pPr>
      <w:rPr>
        <w:rFonts w:hint="default" w:ascii="宋体" w:hAnsi="宋体" w:eastAsia="宋体" w:cs="宋体"/>
      </w:rPr>
    </w:lvl>
  </w:abstractNum>
  <w:abstractNum w:abstractNumId="1">
    <w:nsid w:val="9F535C81"/>
    <w:multiLevelType w:val="singleLevel"/>
    <w:tmpl w:val="9F535C81"/>
    <w:lvl w:ilvl="0" w:tentative="0">
      <w:start w:val="2"/>
      <w:numFmt w:val="decimal"/>
      <w:suff w:val="space"/>
      <w:lvlText w:val="%1."/>
      <w:lvlJc w:val="left"/>
    </w:lvl>
  </w:abstractNum>
  <w:abstractNum w:abstractNumId="2">
    <w:nsid w:val="DD638351"/>
    <w:multiLevelType w:val="singleLevel"/>
    <w:tmpl w:val="DD638351"/>
    <w:lvl w:ilvl="0" w:tentative="0">
      <w:start w:val="1"/>
      <w:numFmt w:val="decimal"/>
      <w:suff w:val="space"/>
      <w:lvlText w:val="[%1]"/>
      <w:lvlJc w:val="left"/>
    </w:lvl>
  </w:abstractNum>
  <w:abstractNum w:abstractNumId="3">
    <w:nsid w:val="02837933"/>
    <w:multiLevelType w:val="multilevel"/>
    <w:tmpl w:val="02837933"/>
    <w:lvl w:ilvl="0" w:tentative="0">
      <w:start w:val="1"/>
      <w:numFmt w:val="decimal"/>
      <w:pStyle w:val="70"/>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4">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5"/>
      <w:suff w:val="nothing"/>
      <w:lvlText w:val="%1%2.%3　"/>
      <w:lvlJc w:val="left"/>
      <w:pPr>
        <w:ind w:left="0" w:firstLine="0"/>
      </w:pPr>
    </w:lvl>
    <w:lvl w:ilvl="3" w:tentative="0">
      <w:start w:val="1"/>
      <w:numFmt w:val="decimal"/>
      <w:pStyle w:val="124"/>
      <w:suff w:val="nothing"/>
      <w:lvlText w:val="%1%2.%3.%4　"/>
      <w:lvlJc w:val="left"/>
      <w:pPr>
        <w:ind w:left="0" w:firstLine="0"/>
      </w:pPr>
    </w:lvl>
    <w:lvl w:ilvl="4" w:tentative="0">
      <w:start w:val="1"/>
      <w:numFmt w:val="decimal"/>
      <w:pStyle w:val="159"/>
      <w:suff w:val="nothing"/>
      <w:lvlText w:val="%1%2.%3.%4.%5　"/>
      <w:lvlJc w:val="left"/>
      <w:pPr>
        <w:ind w:left="0" w:firstLine="0"/>
      </w:pPr>
    </w:lvl>
    <w:lvl w:ilvl="5" w:tentative="0">
      <w:start w:val="1"/>
      <w:numFmt w:val="decimal"/>
      <w:pStyle w:val="161"/>
      <w:suff w:val="nothing"/>
      <w:lvlText w:val="%1%2.%3.%4.%5.%6　"/>
      <w:lvlJc w:val="left"/>
      <w:pPr>
        <w:ind w:left="0" w:firstLine="0"/>
      </w:pPr>
    </w:lvl>
    <w:lvl w:ilvl="6" w:tentative="0">
      <w:start w:val="1"/>
      <w:numFmt w:val="decimal"/>
      <w:pStyle w:val="164"/>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
    <w:nsid w:val="079102AD"/>
    <w:multiLevelType w:val="multilevel"/>
    <w:tmpl w:val="079102AD"/>
    <w:lvl w:ilvl="0" w:tentative="0">
      <w:start w:val="1"/>
      <w:numFmt w:val="decimal"/>
      <w:pStyle w:val="186"/>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6">
    <w:nsid w:val="07ED3FEA"/>
    <w:multiLevelType w:val="multilevel"/>
    <w:tmpl w:val="07ED3FEA"/>
    <w:lvl w:ilvl="0" w:tentative="0">
      <w:start w:val="1"/>
      <w:numFmt w:val="none"/>
      <w:pStyle w:val="95"/>
      <w:lvlText w:val="%1"/>
      <w:lvlJc w:val="left"/>
      <w:pPr>
        <w:ind w:left="425" w:hanging="425"/>
      </w:pPr>
      <w:rPr>
        <w:rFonts w:hint="eastAsia"/>
      </w:rPr>
    </w:lvl>
    <w:lvl w:ilvl="1" w:tentative="0">
      <w:start w:val="1"/>
      <w:numFmt w:val="decimal"/>
      <w:pStyle w:val="206"/>
      <w:suff w:val="nothing"/>
      <w:lvlText w:val="%10.%2 "/>
      <w:lvlJc w:val="left"/>
      <w:pPr>
        <w:ind w:left="0" w:firstLine="0"/>
      </w:pPr>
      <w:rPr>
        <w:rFonts w:hint="eastAsia" w:ascii="黑体" w:eastAsia="黑体" w:hAnsiTheme="minorHAnsi"/>
        <w:b w:val="0"/>
        <w:i w:val="0"/>
        <w:sz w:val="21"/>
      </w:rPr>
    </w:lvl>
    <w:lvl w:ilvl="2" w:tentative="0">
      <w:start w:val="1"/>
      <w:numFmt w:val="decimal"/>
      <w:pStyle w:val="207"/>
      <w:suff w:val="nothing"/>
      <w:lvlText w:val="%10.%2.%3 "/>
      <w:lvlJc w:val="left"/>
      <w:pPr>
        <w:ind w:left="0" w:firstLine="0"/>
      </w:pPr>
      <w:rPr>
        <w:rFonts w:hint="eastAsia" w:ascii="黑体" w:eastAsia="黑体" w:hAnsiTheme="minorHAnsi"/>
        <w:b w:val="0"/>
        <w:i w:val="0"/>
        <w:sz w:val="21"/>
      </w:rPr>
    </w:lvl>
    <w:lvl w:ilvl="3" w:tentative="0">
      <w:start w:val="1"/>
      <w:numFmt w:val="decimal"/>
      <w:pStyle w:val="208"/>
      <w:suff w:val="nothing"/>
      <w:lvlText w:val="%10.%2.%3.%4 "/>
      <w:lvlJc w:val="left"/>
      <w:pPr>
        <w:ind w:left="0" w:firstLine="0"/>
      </w:pPr>
      <w:rPr>
        <w:rFonts w:hint="eastAsia" w:ascii="黑体" w:eastAsia="黑体" w:hAnsiTheme="minorHAnsi"/>
        <w:b w:val="0"/>
        <w:i w:val="0"/>
        <w:sz w:val="21"/>
      </w:rPr>
    </w:lvl>
    <w:lvl w:ilvl="4" w:tentative="0">
      <w:start w:val="1"/>
      <w:numFmt w:val="decimal"/>
      <w:pStyle w:val="209"/>
      <w:suff w:val="nothing"/>
      <w:lvlText w:val="%10.%2.%3.%4.%5 "/>
      <w:lvlJc w:val="left"/>
      <w:pPr>
        <w:ind w:left="0" w:firstLine="0"/>
      </w:pPr>
      <w:rPr>
        <w:rFonts w:hint="eastAsia" w:ascii="黑体" w:eastAsia="黑体" w:hAnsiTheme="minorHAnsi"/>
        <w:b w:val="0"/>
        <w:i w:val="0"/>
        <w:sz w:val="21"/>
      </w:rPr>
    </w:lvl>
    <w:lvl w:ilvl="5" w:tentative="0">
      <w:start w:val="1"/>
      <w:numFmt w:val="decimal"/>
      <w:pStyle w:val="210"/>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0AE367E9"/>
    <w:multiLevelType w:val="multilevel"/>
    <w:tmpl w:val="0AE367E9"/>
    <w:lvl w:ilvl="0" w:tentative="0">
      <w:start w:val="1"/>
      <w:numFmt w:val="none"/>
      <w:pStyle w:val="187"/>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8">
    <w:nsid w:val="0BDC1670"/>
    <w:multiLevelType w:val="multilevel"/>
    <w:tmpl w:val="0BDC1670"/>
    <w:lvl w:ilvl="0" w:tentative="0">
      <w:start w:val="1"/>
      <w:numFmt w:val="decimal"/>
      <w:pStyle w:val="73"/>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D051F45"/>
    <w:multiLevelType w:val="multilevel"/>
    <w:tmpl w:val="0D051F45"/>
    <w:lvl w:ilvl="0" w:tentative="0">
      <w:start w:val="1"/>
      <w:numFmt w:val="lowerRoman"/>
      <w:pStyle w:val="175"/>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0">
    <w:nsid w:val="1AD20F90"/>
    <w:multiLevelType w:val="multilevel"/>
    <w:tmpl w:val="1AD20F90"/>
    <w:lvl w:ilvl="0" w:tentative="0">
      <w:start w:val="1"/>
      <w:numFmt w:val="none"/>
      <w:pStyle w:val="116"/>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1AF15012"/>
    <w:multiLevelType w:val="multilevel"/>
    <w:tmpl w:val="1AF15012"/>
    <w:lvl w:ilvl="0" w:tentative="0">
      <w:start w:val="1"/>
      <w:numFmt w:val="upperLetter"/>
      <w:pStyle w:val="91"/>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1EAA1992"/>
    <w:multiLevelType w:val="multilevel"/>
    <w:tmpl w:val="1EAA1992"/>
    <w:lvl w:ilvl="0" w:tentative="0">
      <w:start w:val="1"/>
      <w:numFmt w:val="none"/>
      <w:pStyle w:val="98"/>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3">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2836"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default" w:ascii="黑体" w:hAnsi="Times New Roman" w:eastAsia="黑体"/>
        <w:b w:val="0"/>
        <w:i w:val="0"/>
        <w:color w:val="FF0000"/>
        <w:sz w:val="21"/>
      </w:rPr>
    </w:lvl>
    <w:lvl w:ilvl="4" w:tentative="0">
      <w:start w:val="1"/>
      <w:numFmt w:val="decimal"/>
      <w:pStyle w:val="242"/>
      <w:suff w:val="nothing"/>
      <w:lvlText w:val="%1.%2.%3.%4.%5　"/>
      <w:lvlJc w:val="left"/>
      <w:pPr>
        <w:ind w:left="851"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22827D5B"/>
    <w:multiLevelType w:val="multilevel"/>
    <w:tmpl w:val="22827D5B"/>
    <w:lvl w:ilvl="0" w:tentative="0">
      <w:start w:val="1"/>
      <w:numFmt w:val="none"/>
      <w:pStyle w:val="264"/>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5">
    <w:nsid w:val="2C5917C3"/>
    <w:multiLevelType w:val="multilevel"/>
    <w:tmpl w:val="2C5917C3"/>
    <w:lvl w:ilvl="0" w:tentative="0">
      <w:start w:val="1"/>
      <w:numFmt w:val="none"/>
      <w:pStyle w:val="138"/>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3"/>
      <w:lvlText w:val=""/>
      <w:lvlJc w:val="left"/>
      <w:pPr>
        <w:ind w:left="851" w:hanging="431"/>
      </w:pPr>
      <w:rPr>
        <w:rFonts w:hint="default" w:ascii="Symbol" w:hAnsi="Symbol"/>
        <w:sz w:val="21"/>
      </w:rPr>
    </w:lvl>
    <w:lvl w:ilvl="2" w:tentative="0">
      <w:start w:val="1"/>
      <w:numFmt w:val="bullet"/>
      <w:pStyle w:val="178"/>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6">
    <w:nsid w:val="2EDCD1A0"/>
    <w:multiLevelType w:val="singleLevel"/>
    <w:tmpl w:val="2EDCD1A0"/>
    <w:lvl w:ilvl="0" w:tentative="0">
      <w:start w:val="2"/>
      <w:numFmt w:val="decimal"/>
      <w:suff w:val="space"/>
      <w:lvlText w:val="%1."/>
      <w:lvlJc w:val="left"/>
    </w:lvl>
  </w:abstractNum>
  <w:abstractNum w:abstractNumId="17">
    <w:nsid w:val="32F04FB2"/>
    <w:multiLevelType w:val="multilevel"/>
    <w:tmpl w:val="32F04FB2"/>
    <w:lvl w:ilvl="0" w:tentative="0">
      <w:start w:val="1"/>
      <w:numFmt w:val="lowerLetter"/>
      <w:pStyle w:val="107"/>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8">
    <w:nsid w:val="44C50F90"/>
    <w:multiLevelType w:val="multilevel"/>
    <w:tmpl w:val="44C50F90"/>
    <w:lvl w:ilvl="0" w:tentative="0">
      <w:start w:val="1"/>
      <w:numFmt w:val="lowerLetter"/>
      <w:pStyle w:val="180"/>
      <w:lvlText w:val="%1)"/>
      <w:lvlJc w:val="left"/>
      <w:pPr>
        <w:tabs>
          <w:tab w:val="left" w:pos="851"/>
        </w:tabs>
        <w:ind w:left="846" w:hanging="426"/>
      </w:pPr>
      <w:rPr>
        <w:rFonts w:hint="eastAsia" w:ascii="宋体" w:hAnsi="Times New Roman" w:eastAsia="宋体"/>
        <w:color w:val="auto"/>
        <w:sz w:val="21"/>
        <w:vertAlign w:val="baseline"/>
      </w:rPr>
    </w:lvl>
    <w:lvl w:ilvl="1" w:tentative="0">
      <w:start w:val="1"/>
      <w:numFmt w:val="decimal"/>
      <w:pStyle w:val="115"/>
      <w:lvlText w:val="%2)"/>
      <w:lvlJc w:val="left"/>
      <w:pPr>
        <w:tabs>
          <w:tab w:val="left" w:pos="1843"/>
        </w:tabs>
        <w:ind w:left="1843" w:hanging="425"/>
      </w:pPr>
      <w:rPr>
        <w:rFonts w:hint="eastAsia" w:ascii="宋体" w:hAnsi="Times New Roman" w:eastAsia="宋体"/>
        <w:sz w:val="21"/>
      </w:rPr>
    </w:lvl>
    <w:lvl w:ilvl="2" w:tentative="0">
      <w:start w:val="1"/>
      <w:numFmt w:val="decimal"/>
      <w:pStyle w:val="123"/>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9">
    <w:nsid w:val="48802D1C"/>
    <w:multiLevelType w:val="multilevel"/>
    <w:tmpl w:val="48802D1C"/>
    <w:lvl w:ilvl="0" w:tentative="0">
      <w:start w:val="1"/>
      <w:numFmt w:val="upperLetter"/>
      <w:pStyle w:val="204"/>
      <w:lvlText w:val="%1"/>
      <w:lvlJc w:val="left"/>
      <w:pPr>
        <w:ind w:left="420" w:hanging="420"/>
      </w:pPr>
      <w:rPr>
        <w:rFonts w:hint="eastAsia"/>
      </w:rPr>
    </w:lvl>
    <w:lvl w:ilvl="1" w:tentative="0">
      <w:start w:val="1"/>
      <w:numFmt w:val="decimal"/>
      <w:pStyle w:val="89"/>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0">
    <w:nsid w:val="4B733A5F"/>
    <w:multiLevelType w:val="multilevel"/>
    <w:tmpl w:val="4B733A5F"/>
    <w:lvl w:ilvl="0" w:tentative="0">
      <w:start w:val="1"/>
      <w:numFmt w:val="decimal"/>
      <w:pStyle w:val="189"/>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1">
    <w:nsid w:val="4E5D0534"/>
    <w:multiLevelType w:val="multilevel"/>
    <w:tmpl w:val="4E5D0534"/>
    <w:lvl w:ilvl="0" w:tentative="0">
      <w:start w:val="1"/>
      <w:numFmt w:val="decimal"/>
      <w:pStyle w:val="122"/>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2">
    <w:nsid w:val="54632751"/>
    <w:multiLevelType w:val="multilevel"/>
    <w:tmpl w:val="54632751"/>
    <w:lvl w:ilvl="0" w:tentative="0">
      <w:start w:val="1"/>
      <w:numFmt w:val="none"/>
      <w:pStyle w:val="99"/>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3">
    <w:nsid w:val="557C2AF5"/>
    <w:multiLevelType w:val="multilevel"/>
    <w:tmpl w:val="557C2AF5"/>
    <w:lvl w:ilvl="0" w:tentative="0">
      <w:start w:val="1"/>
      <w:numFmt w:val="decimal"/>
      <w:pStyle w:val="120"/>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4">
    <w:nsid w:val="5603797C"/>
    <w:multiLevelType w:val="multilevel"/>
    <w:tmpl w:val="5603797C"/>
    <w:lvl w:ilvl="0" w:tentative="0">
      <w:start w:val="1"/>
      <w:numFmt w:val="upperLetter"/>
      <w:pStyle w:val="205"/>
      <w:suff w:val="space"/>
      <w:lvlText w:val="%1"/>
      <w:lvlJc w:val="left"/>
      <w:pPr>
        <w:ind w:left="425" w:hanging="425"/>
      </w:pPr>
      <w:rPr>
        <w:rFonts w:hint="eastAsia"/>
      </w:rPr>
    </w:lvl>
    <w:lvl w:ilvl="1" w:tentative="0">
      <w:start w:val="1"/>
      <w:numFmt w:val="decimal"/>
      <w:pStyle w:val="83"/>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5">
    <w:nsid w:val="564D2089"/>
    <w:multiLevelType w:val="multilevel"/>
    <w:tmpl w:val="564D2089"/>
    <w:lvl w:ilvl="0" w:tentative="0">
      <w:start w:val="1"/>
      <w:numFmt w:val="none"/>
      <w:pStyle w:val="117"/>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6DA8577"/>
    <w:multiLevelType w:val="singleLevel"/>
    <w:tmpl w:val="56DA8577"/>
    <w:lvl w:ilvl="0" w:tentative="0">
      <w:start w:val="2"/>
      <w:numFmt w:val="decimal"/>
      <w:suff w:val="space"/>
      <w:lvlText w:val="%1."/>
      <w:lvlJc w:val="left"/>
    </w:lvl>
  </w:abstractNum>
  <w:abstractNum w:abstractNumId="27">
    <w:nsid w:val="5BF190CC"/>
    <w:multiLevelType w:val="singleLevel"/>
    <w:tmpl w:val="5BF190CC"/>
    <w:lvl w:ilvl="0" w:tentative="0">
      <w:start w:val="2"/>
      <w:numFmt w:val="decimal"/>
      <w:suff w:val="space"/>
      <w:lvlText w:val="%1."/>
      <w:lvlJc w:val="left"/>
    </w:lvl>
  </w:abstractNum>
  <w:abstractNum w:abstractNumId="28">
    <w:nsid w:val="644622F9"/>
    <w:multiLevelType w:val="multilevel"/>
    <w:tmpl w:val="644622F9"/>
    <w:lvl w:ilvl="0" w:tentative="0">
      <w:start w:val="1"/>
      <w:numFmt w:val="upperRoman"/>
      <w:pStyle w:val="174"/>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9">
    <w:nsid w:val="646260FA"/>
    <w:multiLevelType w:val="multilevel"/>
    <w:tmpl w:val="646260FA"/>
    <w:lvl w:ilvl="0" w:tentative="0">
      <w:start w:val="1"/>
      <w:numFmt w:val="decimal"/>
      <w:pStyle w:val="118"/>
      <w:suff w:val="nothing"/>
      <w:lvlText w:val="表%1　"/>
      <w:lvlJc w:val="left"/>
      <w:pPr>
        <w:ind w:left="1560" w:firstLine="0"/>
      </w:pPr>
      <w:rPr>
        <w:lang w:eastAsia="zh-CN"/>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0">
    <w:nsid w:val="654A26C9"/>
    <w:multiLevelType w:val="multilevel"/>
    <w:tmpl w:val="654A26C9"/>
    <w:lvl w:ilvl="0" w:tentative="0">
      <w:start w:val="1"/>
      <w:numFmt w:val="none"/>
      <w:pStyle w:val="195"/>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31">
    <w:nsid w:val="657D3FBC"/>
    <w:multiLevelType w:val="multilevel"/>
    <w:tmpl w:val="657D3FBC"/>
    <w:lvl w:ilvl="0" w:tentative="0">
      <w:start w:val="1"/>
      <w:numFmt w:val="upperLetter"/>
      <w:pStyle w:val="82"/>
      <w:suff w:val="nothing"/>
      <w:lvlText w:val="附录%1"/>
      <w:lvlJc w:val="left"/>
      <w:pPr>
        <w:ind w:left="0" w:firstLine="0"/>
      </w:pPr>
      <w:rPr>
        <w:rFonts w:hint="eastAsia"/>
        <w:spacing w:val="100"/>
      </w:rPr>
    </w:lvl>
    <w:lvl w:ilvl="1" w:tentative="0">
      <w:start w:val="1"/>
      <w:numFmt w:val="decimal"/>
      <w:pStyle w:val="84"/>
      <w:suff w:val="nothing"/>
      <w:lvlText w:val="%1.%2　"/>
      <w:lvlJc w:val="left"/>
      <w:pPr>
        <w:ind w:left="0" w:firstLine="0"/>
      </w:pPr>
      <w:rPr>
        <w:rFonts w:hint="eastAsia" w:ascii="黑体" w:eastAsia="黑体"/>
        <w:b w:val="0"/>
        <w:i w:val="0"/>
        <w:sz w:val="21"/>
      </w:rPr>
    </w:lvl>
    <w:lvl w:ilvl="2" w:tentative="0">
      <w:start w:val="1"/>
      <w:numFmt w:val="decimal"/>
      <w:pStyle w:val="85"/>
      <w:suff w:val="nothing"/>
      <w:lvlText w:val="%1.%2.%3　"/>
      <w:lvlJc w:val="left"/>
      <w:pPr>
        <w:ind w:left="0" w:firstLine="0"/>
      </w:pPr>
      <w:rPr>
        <w:rFonts w:hint="eastAsia" w:ascii="黑体" w:eastAsia="黑体"/>
        <w:b w:val="0"/>
        <w:i w:val="0"/>
        <w:sz w:val="21"/>
      </w:rPr>
    </w:lvl>
    <w:lvl w:ilvl="3" w:tentative="0">
      <w:start w:val="1"/>
      <w:numFmt w:val="decimal"/>
      <w:pStyle w:val="87"/>
      <w:suff w:val="nothing"/>
      <w:lvlText w:val="%1.%2.%3.%4　"/>
      <w:lvlJc w:val="left"/>
      <w:pPr>
        <w:ind w:left="0" w:firstLine="0"/>
      </w:pPr>
      <w:rPr>
        <w:rFonts w:hint="eastAsia" w:ascii="黑体" w:eastAsia="黑体"/>
        <w:b w:val="0"/>
        <w:i w:val="0"/>
        <w:sz w:val="21"/>
      </w:rPr>
    </w:lvl>
    <w:lvl w:ilvl="4" w:tentative="0">
      <w:start w:val="1"/>
      <w:numFmt w:val="decimal"/>
      <w:pStyle w:val="88"/>
      <w:suff w:val="nothing"/>
      <w:lvlText w:val="%1.%2.%3.%4.%5　"/>
      <w:lvlJc w:val="left"/>
      <w:pPr>
        <w:ind w:left="0" w:firstLine="0"/>
      </w:pPr>
      <w:rPr>
        <w:rFonts w:hint="eastAsia" w:ascii="黑体" w:eastAsia="黑体"/>
        <w:b w:val="0"/>
        <w:i w:val="0"/>
        <w:sz w:val="21"/>
      </w:rPr>
    </w:lvl>
    <w:lvl w:ilvl="5" w:tentative="0">
      <w:start w:val="1"/>
      <w:numFmt w:val="decimal"/>
      <w:pStyle w:val="90"/>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2">
    <w:nsid w:val="69506ABF"/>
    <w:multiLevelType w:val="multilevel"/>
    <w:tmpl w:val="69506ABF"/>
    <w:lvl w:ilvl="0" w:tentative="0">
      <w:start w:val="1"/>
      <w:numFmt w:val="bullet"/>
      <w:pStyle w:val="194"/>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33">
    <w:nsid w:val="6CA41985"/>
    <w:multiLevelType w:val="multilevel"/>
    <w:tmpl w:val="6CA41985"/>
    <w:lvl w:ilvl="0" w:tentative="0">
      <w:start w:val="1"/>
      <w:numFmt w:val="decimal"/>
      <w:pStyle w:val="103"/>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6CE42AC1"/>
    <w:multiLevelType w:val="multilevel"/>
    <w:tmpl w:val="6CE42AC1"/>
    <w:lvl w:ilvl="0" w:tentative="0">
      <w:start w:val="1"/>
      <w:numFmt w:val="lowerLetter"/>
      <w:pStyle w:val="179"/>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6DBF04F4"/>
    <w:multiLevelType w:val="multilevel"/>
    <w:tmpl w:val="6DBF04F4"/>
    <w:lvl w:ilvl="0" w:tentative="0">
      <w:start w:val="1"/>
      <w:numFmt w:val="none"/>
      <w:pStyle w:val="185"/>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6">
    <w:nsid w:val="6DF35F19"/>
    <w:multiLevelType w:val="multilevel"/>
    <w:tmpl w:val="6DF35F19"/>
    <w:lvl w:ilvl="0" w:tentative="0">
      <w:start w:val="1"/>
      <w:numFmt w:val="decimal"/>
      <w:pStyle w:val="121"/>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7">
    <w:nsid w:val="76933334"/>
    <w:multiLevelType w:val="multilevel"/>
    <w:tmpl w:val="76933334"/>
    <w:lvl w:ilvl="0" w:tentative="0">
      <w:start w:val="1"/>
      <w:numFmt w:val="none"/>
      <w:pStyle w:val="145"/>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0"/>
  </w:num>
  <w:num w:numId="3">
    <w:abstractNumId w:val="8"/>
  </w:num>
  <w:num w:numId="4">
    <w:abstractNumId w:val="31"/>
  </w:num>
  <w:num w:numId="5">
    <w:abstractNumId w:val="24"/>
  </w:num>
  <w:num w:numId="6">
    <w:abstractNumId w:val="19"/>
  </w:num>
  <w:num w:numId="7">
    <w:abstractNumId w:val="11"/>
  </w:num>
  <w:num w:numId="8">
    <w:abstractNumId w:val="6"/>
  </w:num>
  <w:num w:numId="9">
    <w:abstractNumId w:val="12"/>
  </w:num>
  <w:num w:numId="10">
    <w:abstractNumId w:val="22"/>
  </w:num>
  <w:num w:numId="11">
    <w:abstractNumId w:val="33"/>
  </w:num>
  <w:num w:numId="12">
    <w:abstractNumId w:val="17"/>
  </w:num>
  <w:num w:numId="13">
    <w:abstractNumId w:val="18"/>
  </w:num>
  <w:num w:numId="14">
    <w:abstractNumId w:val="10"/>
  </w:num>
  <w:num w:numId="15">
    <w:abstractNumId w:val="25"/>
  </w:num>
  <w:num w:numId="16">
    <w:abstractNumId w:val="29"/>
  </w:num>
  <w:num w:numId="17">
    <w:abstractNumId w:val="23"/>
  </w:num>
  <w:num w:numId="18">
    <w:abstractNumId w:val="36"/>
  </w:num>
  <w:num w:numId="19">
    <w:abstractNumId w:val="21"/>
  </w:num>
  <w:num w:numId="20">
    <w:abstractNumId w:val="4"/>
  </w:num>
  <w:num w:numId="21">
    <w:abstractNumId w:val="15"/>
  </w:num>
  <w:num w:numId="22">
    <w:abstractNumId w:val="37"/>
  </w:num>
  <w:num w:numId="23">
    <w:abstractNumId w:val="28"/>
  </w:num>
  <w:num w:numId="24">
    <w:abstractNumId w:val="9"/>
  </w:num>
  <w:num w:numId="25">
    <w:abstractNumId w:val="34"/>
  </w:num>
  <w:num w:numId="26">
    <w:abstractNumId w:val="35"/>
  </w:num>
  <w:num w:numId="27">
    <w:abstractNumId w:val="5"/>
  </w:num>
  <w:num w:numId="28">
    <w:abstractNumId w:val="7"/>
  </w:num>
  <w:num w:numId="29">
    <w:abstractNumId w:val="20"/>
  </w:num>
  <w:num w:numId="30">
    <w:abstractNumId w:val="32"/>
  </w:num>
  <w:num w:numId="31">
    <w:abstractNumId w:val="30"/>
  </w:num>
  <w:num w:numId="32">
    <w:abstractNumId w:val="13"/>
  </w:num>
  <w:num w:numId="33">
    <w:abstractNumId w:val="14"/>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num>
  <w:num w:numId="38">
    <w:abstractNumId w:val="16"/>
  </w:num>
  <w:num w:numId="39">
    <w:abstractNumId w:val="1"/>
  </w:num>
  <w:num w:numId="40">
    <w:abstractNumId w:val="27"/>
  </w:num>
  <w:num w:numId="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s>
  <w:rsids>
    <w:rsidRoot w:val="00735397"/>
    <w:rsid w:val="0000040A"/>
    <w:rsid w:val="00000A94"/>
    <w:rsid w:val="00001972"/>
    <w:rsid w:val="00001D9A"/>
    <w:rsid w:val="00002388"/>
    <w:rsid w:val="00007B3A"/>
    <w:rsid w:val="000107E0"/>
    <w:rsid w:val="00011FDE"/>
    <w:rsid w:val="00012FFD"/>
    <w:rsid w:val="00014162"/>
    <w:rsid w:val="00014231"/>
    <w:rsid w:val="00014340"/>
    <w:rsid w:val="00014A31"/>
    <w:rsid w:val="000156E5"/>
    <w:rsid w:val="00016526"/>
    <w:rsid w:val="00016A9C"/>
    <w:rsid w:val="00022184"/>
    <w:rsid w:val="00022762"/>
    <w:rsid w:val="00022D21"/>
    <w:rsid w:val="000238E0"/>
    <w:rsid w:val="000249DB"/>
    <w:rsid w:val="0002595E"/>
    <w:rsid w:val="000303C3"/>
    <w:rsid w:val="00030544"/>
    <w:rsid w:val="00032F69"/>
    <w:rsid w:val="000331D3"/>
    <w:rsid w:val="0003406C"/>
    <w:rsid w:val="000346A5"/>
    <w:rsid w:val="000359C3"/>
    <w:rsid w:val="00035A7D"/>
    <w:rsid w:val="00036C90"/>
    <w:rsid w:val="000410E8"/>
    <w:rsid w:val="0004249A"/>
    <w:rsid w:val="0004305B"/>
    <w:rsid w:val="00043282"/>
    <w:rsid w:val="00043890"/>
    <w:rsid w:val="00044286"/>
    <w:rsid w:val="00046906"/>
    <w:rsid w:val="00047F28"/>
    <w:rsid w:val="00047F8C"/>
    <w:rsid w:val="000503AA"/>
    <w:rsid w:val="000506A1"/>
    <w:rsid w:val="00050BCA"/>
    <w:rsid w:val="000515DD"/>
    <w:rsid w:val="00051BDC"/>
    <w:rsid w:val="00052131"/>
    <w:rsid w:val="0005265A"/>
    <w:rsid w:val="000539DD"/>
    <w:rsid w:val="00053BD3"/>
    <w:rsid w:val="00053E44"/>
    <w:rsid w:val="00053EE4"/>
    <w:rsid w:val="00053F13"/>
    <w:rsid w:val="000556ED"/>
    <w:rsid w:val="00055FE2"/>
    <w:rsid w:val="0005616F"/>
    <w:rsid w:val="00060C2E"/>
    <w:rsid w:val="00061033"/>
    <w:rsid w:val="000619E9"/>
    <w:rsid w:val="000622D4"/>
    <w:rsid w:val="0006357D"/>
    <w:rsid w:val="000644F1"/>
    <w:rsid w:val="000663AD"/>
    <w:rsid w:val="00067F1E"/>
    <w:rsid w:val="000707E1"/>
    <w:rsid w:val="000712FF"/>
    <w:rsid w:val="00071CC0"/>
    <w:rsid w:val="00073C8C"/>
    <w:rsid w:val="000743B0"/>
    <w:rsid w:val="00075081"/>
    <w:rsid w:val="00077B64"/>
    <w:rsid w:val="00080314"/>
    <w:rsid w:val="00080A1C"/>
    <w:rsid w:val="00082317"/>
    <w:rsid w:val="00083D2C"/>
    <w:rsid w:val="0008406C"/>
    <w:rsid w:val="00084D0F"/>
    <w:rsid w:val="00086AA1"/>
    <w:rsid w:val="00087A77"/>
    <w:rsid w:val="00090CA6"/>
    <w:rsid w:val="00090CE0"/>
    <w:rsid w:val="00091321"/>
    <w:rsid w:val="00092B8A"/>
    <w:rsid w:val="00092FB0"/>
    <w:rsid w:val="000934C5"/>
    <w:rsid w:val="00093D25"/>
    <w:rsid w:val="00093DAB"/>
    <w:rsid w:val="00094D73"/>
    <w:rsid w:val="00096D63"/>
    <w:rsid w:val="00097497"/>
    <w:rsid w:val="000A0B60"/>
    <w:rsid w:val="000A0EB8"/>
    <w:rsid w:val="000A19FC"/>
    <w:rsid w:val="000A296B"/>
    <w:rsid w:val="000A59D2"/>
    <w:rsid w:val="000A7311"/>
    <w:rsid w:val="000B060F"/>
    <w:rsid w:val="000B1592"/>
    <w:rsid w:val="000B1F3C"/>
    <w:rsid w:val="000B1FF2"/>
    <w:rsid w:val="000B3CDA"/>
    <w:rsid w:val="000B6A0B"/>
    <w:rsid w:val="000C0F6C"/>
    <w:rsid w:val="000C11DB"/>
    <w:rsid w:val="000C1492"/>
    <w:rsid w:val="000C2FBD"/>
    <w:rsid w:val="000C3AE2"/>
    <w:rsid w:val="000C3F06"/>
    <w:rsid w:val="000C4B41"/>
    <w:rsid w:val="000C57D6"/>
    <w:rsid w:val="000C7663"/>
    <w:rsid w:val="000C7666"/>
    <w:rsid w:val="000D0A9C"/>
    <w:rsid w:val="000D0D81"/>
    <w:rsid w:val="000D1795"/>
    <w:rsid w:val="000D2747"/>
    <w:rsid w:val="000D2D64"/>
    <w:rsid w:val="000D2F41"/>
    <w:rsid w:val="000D329A"/>
    <w:rsid w:val="000D4B9C"/>
    <w:rsid w:val="000D4EB6"/>
    <w:rsid w:val="000D753B"/>
    <w:rsid w:val="000E46F9"/>
    <w:rsid w:val="000E4C9E"/>
    <w:rsid w:val="000E5CDB"/>
    <w:rsid w:val="000E6FD7"/>
    <w:rsid w:val="000E7272"/>
    <w:rsid w:val="000F06E1"/>
    <w:rsid w:val="000F0E3C"/>
    <w:rsid w:val="000F19D5"/>
    <w:rsid w:val="000F3E28"/>
    <w:rsid w:val="000F4AEA"/>
    <w:rsid w:val="000F4EED"/>
    <w:rsid w:val="000F515D"/>
    <w:rsid w:val="000F5250"/>
    <w:rsid w:val="000F67E9"/>
    <w:rsid w:val="000F7B93"/>
    <w:rsid w:val="00100127"/>
    <w:rsid w:val="001032ED"/>
    <w:rsid w:val="00104926"/>
    <w:rsid w:val="00104D7E"/>
    <w:rsid w:val="00107C93"/>
    <w:rsid w:val="00112C85"/>
    <w:rsid w:val="00113B1E"/>
    <w:rsid w:val="001144C3"/>
    <w:rsid w:val="0011711C"/>
    <w:rsid w:val="0012108D"/>
    <w:rsid w:val="00121857"/>
    <w:rsid w:val="00123447"/>
    <w:rsid w:val="00124E4F"/>
    <w:rsid w:val="001260B7"/>
    <w:rsid w:val="001265CB"/>
    <w:rsid w:val="001321C6"/>
    <w:rsid w:val="001325C4"/>
    <w:rsid w:val="001329E8"/>
    <w:rsid w:val="00133010"/>
    <w:rsid w:val="001338EE"/>
    <w:rsid w:val="00133AAE"/>
    <w:rsid w:val="00135323"/>
    <w:rsid w:val="00135386"/>
    <w:rsid w:val="001356C4"/>
    <w:rsid w:val="001379F3"/>
    <w:rsid w:val="00141114"/>
    <w:rsid w:val="00142969"/>
    <w:rsid w:val="00142C32"/>
    <w:rsid w:val="00145771"/>
    <w:rsid w:val="001457E7"/>
    <w:rsid w:val="00145A4B"/>
    <w:rsid w:val="00145D9D"/>
    <w:rsid w:val="00146388"/>
    <w:rsid w:val="001529E5"/>
    <w:rsid w:val="00153C7E"/>
    <w:rsid w:val="001557D3"/>
    <w:rsid w:val="00156B25"/>
    <w:rsid w:val="00156E1A"/>
    <w:rsid w:val="00157B55"/>
    <w:rsid w:val="001604D0"/>
    <w:rsid w:val="001642FA"/>
    <w:rsid w:val="001649EB"/>
    <w:rsid w:val="00164BAF"/>
    <w:rsid w:val="00164FA8"/>
    <w:rsid w:val="00165065"/>
    <w:rsid w:val="00165434"/>
    <w:rsid w:val="0016580B"/>
    <w:rsid w:val="00165F49"/>
    <w:rsid w:val="00166B88"/>
    <w:rsid w:val="00166DA6"/>
    <w:rsid w:val="0016770A"/>
    <w:rsid w:val="00170804"/>
    <w:rsid w:val="001708E9"/>
    <w:rsid w:val="001722D2"/>
    <w:rsid w:val="0017340B"/>
    <w:rsid w:val="00173FB1"/>
    <w:rsid w:val="001764C4"/>
    <w:rsid w:val="00176DFD"/>
    <w:rsid w:val="001803FF"/>
    <w:rsid w:val="001815D0"/>
    <w:rsid w:val="00182222"/>
    <w:rsid w:val="00184CF8"/>
    <w:rsid w:val="001852C9"/>
    <w:rsid w:val="00185750"/>
    <w:rsid w:val="0018616E"/>
    <w:rsid w:val="00187780"/>
    <w:rsid w:val="00190087"/>
    <w:rsid w:val="00190870"/>
    <w:rsid w:val="001913C4"/>
    <w:rsid w:val="0019348F"/>
    <w:rsid w:val="00193A07"/>
    <w:rsid w:val="00194C95"/>
    <w:rsid w:val="001959EA"/>
    <w:rsid w:val="00195C34"/>
    <w:rsid w:val="0019724F"/>
    <w:rsid w:val="001A18D1"/>
    <w:rsid w:val="001A1A53"/>
    <w:rsid w:val="001A234A"/>
    <w:rsid w:val="001B06E8"/>
    <w:rsid w:val="001B193E"/>
    <w:rsid w:val="001B2B8F"/>
    <w:rsid w:val="001B68E0"/>
    <w:rsid w:val="001B71D0"/>
    <w:rsid w:val="001B71EE"/>
    <w:rsid w:val="001C04A8"/>
    <w:rsid w:val="001C2C03"/>
    <w:rsid w:val="001C42F7"/>
    <w:rsid w:val="001C49E5"/>
    <w:rsid w:val="001C680C"/>
    <w:rsid w:val="001C68E5"/>
    <w:rsid w:val="001C71EC"/>
    <w:rsid w:val="001C78B7"/>
    <w:rsid w:val="001C7FEA"/>
    <w:rsid w:val="001D0499"/>
    <w:rsid w:val="001D0BBE"/>
    <w:rsid w:val="001D0ED4"/>
    <w:rsid w:val="001D212F"/>
    <w:rsid w:val="001D29D7"/>
    <w:rsid w:val="001D2DE7"/>
    <w:rsid w:val="001D411C"/>
    <w:rsid w:val="001E1B6A"/>
    <w:rsid w:val="001E2484"/>
    <w:rsid w:val="001E3189"/>
    <w:rsid w:val="001E3CC4"/>
    <w:rsid w:val="001E3DDE"/>
    <w:rsid w:val="001E4768"/>
    <w:rsid w:val="001E4882"/>
    <w:rsid w:val="001E528F"/>
    <w:rsid w:val="001E73AB"/>
    <w:rsid w:val="001F092D"/>
    <w:rsid w:val="001F143A"/>
    <w:rsid w:val="001F1605"/>
    <w:rsid w:val="001F2508"/>
    <w:rsid w:val="001F32B6"/>
    <w:rsid w:val="001F4816"/>
    <w:rsid w:val="001F4E0B"/>
    <w:rsid w:val="001F6673"/>
    <w:rsid w:val="001F69B4"/>
    <w:rsid w:val="001F77C7"/>
    <w:rsid w:val="00200183"/>
    <w:rsid w:val="0020107D"/>
    <w:rsid w:val="002012D6"/>
    <w:rsid w:val="00202917"/>
    <w:rsid w:val="00202AA4"/>
    <w:rsid w:val="002031F7"/>
    <w:rsid w:val="002040E6"/>
    <w:rsid w:val="0020527B"/>
    <w:rsid w:val="00205E1E"/>
    <w:rsid w:val="00205F2C"/>
    <w:rsid w:val="00210137"/>
    <w:rsid w:val="0021067C"/>
    <w:rsid w:val="00210B15"/>
    <w:rsid w:val="00210EF6"/>
    <w:rsid w:val="00210FDD"/>
    <w:rsid w:val="00212A59"/>
    <w:rsid w:val="002142EA"/>
    <w:rsid w:val="002204BB"/>
    <w:rsid w:val="00221B79"/>
    <w:rsid w:val="00221C6B"/>
    <w:rsid w:val="00224596"/>
    <w:rsid w:val="00224966"/>
    <w:rsid w:val="002253A1"/>
    <w:rsid w:val="00225CF8"/>
    <w:rsid w:val="00226E69"/>
    <w:rsid w:val="0022794E"/>
    <w:rsid w:val="002313C4"/>
    <w:rsid w:val="00233D64"/>
    <w:rsid w:val="002342AE"/>
    <w:rsid w:val="00234784"/>
    <w:rsid w:val="0023482A"/>
    <w:rsid w:val="002359CB"/>
    <w:rsid w:val="00235D46"/>
    <w:rsid w:val="00237A78"/>
    <w:rsid w:val="00242A31"/>
    <w:rsid w:val="00243540"/>
    <w:rsid w:val="00243CC5"/>
    <w:rsid w:val="0024497B"/>
    <w:rsid w:val="00244EDF"/>
    <w:rsid w:val="0024515B"/>
    <w:rsid w:val="00245339"/>
    <w:rsid w:val="00246021"/>
    <w:rsid w:val="0024666E"/>
    <w:rsid w:val="00247F52"/>
    <w:rsid w:val="00250B25"/>
    <w:rsid w:val="00250BBE"/>
    <w:rsid w:val="002515C2"/>
    <w:rsid w:val="0025194F"/>
    <w:rsid w:val="00252A74"/>
    <w:rsid w:val="00253243"/>
    <w:rsid w:val="002605BF"/>
    <w:rsid w:val="0026148A"/>
    <w:rsid w:val="00261E63"/>
    <w:rsid w:val="00262696"/>
    <w:rsid w:val="002634BC"/>
    <w:rsid w:val="00263B59"/>
    <w:rsid w:val="002643C3"/>
    <w:rsid w:val="00264A0C"/>
    <w:rsid w:val="00266239"/>
    <w:rsid w:val="00267EF4"/>
    <w:rsid w:val="00270CB8"/>
    <w:rsid w:val="00272B08"/>
    <w:rsid w:val="00274D06"/>
    <w:rsid w:val="00281BB8"/>
    <w:rsid w:val="00281E9E"/>
    <w:rsid w:val="002840B4"/>
    <w:rsid w:val="00285170"/>
    <w:rsid w:val="00285361"/>
    <w:rsid w:val="00292D60"/>
    <w:rsid w:val="002941A1"/>
    <w:rsid w:val="00294D34"/>
    <w:rsid w:val="00294E3B"/>
    <w:rsid w:val="00296193"/>
    <w:rsid w:val="00296C66"/>
    <w:rsid w:val="00296EBE"/>
    <w:rsid w:val="002974E3"/>
    <w:rsid w:val="002A084B"/>
    <w:rsid w:val="002A1260"/>
    <w:rsid w:val="002A1589"/>
    <w:rsid w:val="002A1608"/>
    <w:rsid w:val="002A25DC"/>
    <w:rsid w:val="002A39B1"/>
    <w:rsid w:val="002A3AAB"/>
    <w:rsid w:val="002A4CEA"/>
    <w:rsid w:val="002A5977"/>
    <w:rsid w:val="002A5A13"/>
    <w:rsid w:val="002A5B76"/>
    <w:rsid w:val="002A6A56"/>
    <w:rsid w:val="002A757F"/>
    <w:rsid w:val="002A7919"/>
    <w:rsid w:val="002A7F44"/>
    <w:rsid w:val="002B0C40"/>
    <w:rsid w:val="002B1966"/>
    <w:rsid w:val="002B1FF5"/>
    <w:rsid w:val="002B23E3"/>
    <w:rsid w:val="002B3670"/>
    <w:rsid w:val="002B3A89"/>
    <w:rsid w:val="002B4508"/>
    <w:rsid w:val="002B5779"/>
    <w:rsid w:val="002B7332"/>
    <w:rsid w:val="002B7F51"/>
    <w:rsid w:val="002C09E7"/>
    <w:rsid w:val="002C23DB"/>
    <w:rsid w:val="002C3C1B"/>
    <w:rsid w:val="002C3F07"/>
    <w:rsid w:val="002C5278"/>
    <w:rsid w:val="002C7EBB"/>
    <w:rsid w:val="002D06C1"/>
    <w:rsid w:val="002D1323"/>
    <w:rsid w:val="002D15C5"/>
    <w:rsid w:val="002D30DC"/>
    <w:rsid w:val="002D3DF9"/>
    <w:rsid w:val="002D42B5"/>
    <w:rsid w:val="002D4F1A"/>
    <w:rsid w:val="002D6DA6"/>
    <w:rsid w:val="002D6EC6"/>
    <w:rsid w:val="002D79AC"/>
    <w:rsid w:val="002E039D"/>
    <w:rsid w:val="002E072D"/>
    <w:rsid w:val="002E3C4B"/>
    <w:rsid w:val="002E4D5A"/>
    <w:rsid w:val="002E6326"/>
    <w:rsid w:val="002E69A7"/>
    <w:rsid w:val="002F30E0"/>
    <w:rsid w:val="002F35E4"/>
    <w:rsid w:val="002F3730"/>
    <w:rsid w:val="002F38E1"/>
    <w:rsid w:val="002F7AF6"/>
    <w:rsid w:val="00300E63"/>
    <w:rsid w:val="00302F5F"/>
    <w:rsid w:val="0030441D"/>
    <w:rsid w:val="00306063"/>
    <w:rsid w:val="003066C9"/>
    <w:rsid w:val="003066D1"/>
    <w:rsid w:val="00311E3C"/>
    <w:rsid w:val="00313B85"/>
    <w:rsid w:val="00317988"/>
    <w:rsid w:val="003221B4"/>
    <w:rsid w:val="00322919"/>
    <w:rsid w:val="00322E62"/>
    <w:rsid w:val="00324EDD"/>
    <w:rsid w:val="00324FA8"/>
    <w:rsid w:val="0032688F"/>
    <w:rsid w:val="003331E4"/>
    <w:rsid w:val="00336C64"/>
    <w:rsid w:val="00337162"/>
    <w:rsid w:val="0033775F"/>
    <w:rsid w:val="0034194F"/>
    <w:rsid w:val="00341F17"/>
    <w:rsid w:val="00342018"/>
    <w:rsid w:val="00342DB8"/>
    <w:rsid w:val="00344605"/>
    <w:rsid w:val="00345097"/>
    <w:rsid w:val="003474AA"/>
    <w:rsid w:val="0035079F"/>
    <w:rsid w:val="00350D1D"/>
    <w:rsid w:val="00351901"/>
    <w:rsid w:val="00352C83"/>
    <w:rsid w:val="00355B80"/>
    <w:rsid w:val="0035683A"/>
    <w:rsid w:val="003615D2"/>
    <w:rsid w:val="00362995"/>
    <w:rsid w:val="0036429C"/>
    <w:rsid w:val="00364A53"/>
    <w:rsid w:val="003654CB"/>
    <w:rsid w:val="00365F86"/>
    <w:rsid w:val="00365F87"/>
    <w:rsid w:val="003705F4"/>
    <w:rsid w:val="00370D58"/>
    <w:rsid w:val="00371316"/>
    <w:rsid w:val="00375D5C"/>
    <w:rsid w:val="00376713"/>
    <w:rsid w:val="003807D3"/>
    <w:rsid w:val="00381815"/>
    <w:rsid w:val="003819AF"/>
    <w:rsid w:val="003820E9"/>
    <w:rsid w:val="00382DE7"/>
    <w:rsid w:val="0038326C"/>
    <w:rsid w:val="00384FFC"/>
    <w:rsid w:val="003861BA"/>
    <w:rsid w:val="003872FC"/>
    <w:rsid w:val="00387ADC"/>
    <w:rsid w:val="00390020"/>
    <w:rsid w:val="003903D6"/>
    <w:rsid w:val="00390EE6"/>
    <w:rsid w:val="0039118F"/>
    <w:rsid w:val="00392AD7"/>
    <w:rsid w:val="00392D26"/>
    <w:rsid w:val="003938D9"/>
    <w:rsid w:val="00394376"/>
    <w:rsid w:val="003943FF"/>
    <w:rsid w:val="003957EB"/>
    <w:rsid w:val="00396BDA"/>
    <w:rsid w:val="003974EB"/>
    <w:rsid w:val="0039755C"/>
    <w:rsid w:val="00397CC5"/>
    <w:rsid w:val="003A1582"/>
    <w:rsid w:val="003A24D1"/>
    <w:rsid w:val="003A3503"/>
    <w:rsid w:val="003A4077"/>
    <w:rsid w:val="003A5951"/>
    <w:rsid w:val="003A6412"/>
    <w:rsid w:val="003B09AD"/>
    <w:rsid w:val="003B0BD9"/>
    <w:rsid w:val="003B1F18"/>
    <w:rsid w:val="003B24AF"/>
    <w:rsid w:val="003B2AD9"/>
    <w:rsid w:val="003B4B3C"/>
    <w:rsid w:val="003B5BF0"/>
    <w:rsid w:val="003B60BF"/>
    <w:rsid w:val="003B63CD"/>
    <w:rsid w:val="003B6BE3"/>
    <w:rsid w:val="003C010C"/>
    <w:rsid w:val="003C0A6C"/>
    <w:rsid w:val="003C2859"/>
    <w:rsid w:val="003C545F"/>
    <w:rsid w:val="003C5A43"/>
    <w:rsid w:val="003C61E6"/>
    <w:rsid w:val="003D0519"/>
    <w:rsid w:val="003D0FF6"/>
    <w:rsid w:val="003D262C"/>
    <w:rsid w:val="003D489E"/>
    <w:rsid w:val="003D6D61"/>
    <w:rsid w:val="003E091D"/>
    <w:rsid w:val="003E1C53"/>
    <w:rsid w:val="003E2A69"/>
    <w:rsid w:val="003E2D2D"/>
    <w:rsid w:val="003E2D49"/>
    <w:rsid w:val="003E2FD4"/>
    <w:rsid w:val="003E45DC"/>
    <w:rsid w:val="003E49F6"/>
    <w:rsid w:val="003F0841"/>
    <w:rsid w:val="003F23D3"/>
    <w:rsid w:val="003F2C5F"/>
    <w:rsid w:val="003F3F08"/>
    <w:rsid w:val="003F415B"/>
    <w:rsid w:val="003F4554"/>
    <w:rsid w:val="003F49F1"/>
    <w:rsid w:val="003F6272"/>
    <w:rsid w:val="003F72A3"/>
    <w:rsid w:val="00400D06"/>
    <w:rsid w:val="00400E72"/>
    <w:rsid w:val="00401121"/>
    <w:rsid w:val="00401400"/>
    <w:rsid w:val="00403326"/>
    <w:rsid w:val="00404869"/>
    <w:rsid w:val="00405884"/>
    <w:rsid w:val="00407D39"/>
    <w:rsid w:val="0041477A"/>
    <w:rsid w:val="00415A41"/>
    <w:rsid w:val="004167A3"/>
    <w:rsid w:val="00423603"/>
    <w:rsid w:val="00432DAA"/>
    <w:rsid w:val="00434305"/>
    <w:rsid w:val="00434C5E"/>
    <w:rsid w:val="0043540B"/>
    <w:rsid w:val="00435DF7"/>
    <w:rsid w:val="0044083F"/>
    <w:rsid w:val="00441AE7"/>
    <w:rsid w:val="00445574"/>
    <w:rsid w:val="004467FB"/>
    <w:rsid w:val="00451B67"/>
    <w:rsid w:val="00452D6B"/>
    <w:rsid w:val="00454484"/>
    <w:rsid w:val="0045517B"/>
    <w:rsid w:val="004563CD"/>
    <w:rsid w:val="00461875"/>
    <w:rsid w:val="00462A17"/>
    <w:rsid w:val="00463B77"/>
    <w:rsid w:val="00463C7B"/>
    <w:rsid w:val="00463F02"/>
    <w:rsid w:val="004644A6"/>
    <w:rsid w:val="004646B8"/>
    <w:rsid w:val="00464F3C"/>
    <w:rsid w:val="004659BD"/>
    <w:rsid w:val="00467882"/>
    <w:rsid w:val="00470775"/>
    <w:rsid w:val="00470887"/>
    <w:rsid w:val="004708A4"/>
    <w:rsid w:val="004715BD"/>
    <w:rsid w:val="004724FC"/>
    <w:rsid w:val="004746B1"/>
    <w:rsid w:val="00474E46"/>
    <w:rsid w:val="0047551C"/>
    <w:rsid w:val="0047583F"/>
    <w:rsid w:val="00475BC4"/>
    <w:rsid w:val="0048344C"/>
    <w:rsid w:val="00484936"/>
    <w:rsid w:val="00485C89"/>
    <w:rsid w:val="00486BE3"/>
    <w:rsid w:val="004905E4"/>
    <w:rsid w:val="004908F7"/>
    <w:rsid w:val="00490A89"/>
    <w:rsid w:val="00490AB4"/>
    <w:rsid w:val="004920D8"/>
    <w:rsid w:val="00492F02"/>
    <w:rsid w:val="004939AE"/>
    <w:rsid w:val="004952D5"/>
    <w:rsid w:val="00495812"/>
    <w:rsid w:val="00496D74"/>
    <w:rsid w:val="004A0BA1"/>
    <w:rsid w:val="004A0D26"/>
    <w:rsid w:val="004A12DF"/>
    <w:rsid w:val="004A1BA8"/>
    <w:rsid w:val="004A2810"/>
    <w:rsid w:val="004A397C"/>
    <w:rsid w:val="004A4B57"/>
    <w:rsid w:val="004A566E"/>
    <w:rsid w:val="004A63FA"/>
    <w:rsid w:val="004B0272"/>
    <w:rsid w:val="004B08CA"/>
    <w:rsid w:val="004B2701"/>
    <w:rsid w:val="004B28FA"/>
    <w:rsid w:val="004B2D8A"/>
    <w:rsid w:val="004B2E1B"/>
    <w:rsid w:val="004B3E93"/>
    <w:rsid w:val="004B5667"/>
    <w:rsid w:val="004C1FBC"/>
    <w:rsid w:val="004C312C"/>
    <w:rsid w:val="004C3F1D"/>
    <w:rsid w:val="004C458D"/>
    <w:rsid w:val="004C546A"/>
    <w:rsid w:val="004C7556"/>
    <w:rsid w:val="004C7E9D"/>
    <w:rsid w:val="004C7F67"/>
    <w:rsid w:val="004D076D"/>
    <w:rsid w:val="004D0EF1"/>
    <w:rsid w:val="004D1221"/>
    <w:rsid w:val="004D189E"/>
    <w:rsid w:val="004D2253"/>
    <w:rsid w:val="004D4406"/>
    <w:rsid w:val="004D7C42"/>
    <w:rsid w:val="004E0465"/>
    <w:rsid w:val="004E127B"/>
    <w:rsid w:val="004E1C0A"/>
    <w:rsid w:val="004E3014"/>
    <w:rsid w:val="004E30B3"/>
    <w:rsid w:val="004E30C5"/>
    <w:rsid w:val="004E4AA5"/>
    <w:rsid w:val="004E4AEE"/>
    <w:rsid w:val="004E59E3"/>
    <w:rsid w:val="004E67C0"/>
    <w:rsid w:val="004E726D"/>
    <w:rsid w:val="004F391A"/>
    <w:rsid w:val="004F3CFB"/>
    <w:rsid w:val="004F6456"/>
    <w:rsid w:val="004F664D"/>
    <w:rsid w:val="004F696E"/>
    <w:rsid w:val="004F6C71"/>
    <w:rsid w:val="00500908"/>
    <w:rsid w:val="00501139"/>
    <w:rsid w:val="00502991"/>
    <w:rsid w:val="005033B5"/>
    <w:rsid w:val="005034C2"/>
    <w:rsid w:val="0050363E"/>
    <w:rsid w:val="005039BC"/>
    <w:rsid w:val="00504047"/>
    <w:rsid w:val="005043BB"/>
    <w:rsid w:val="00504A3D"/>
    <w:rsid w:val="0050522F"/>
    <w:rsid w:val="00505767"/>
    <w:rsid w:val="0050727F"/>
    <w:rsid w:val="005073F0"/>
    <w:rsid w:val="00507561"/>
    <w:rsid w:val="00510204"/>
    <w:rsid w:val="00510A7B"/>
    <w:rsid w:val="005119EF"/>
    <w:rsid w:val="00511B27"/>
    <w:rsid w:val="00512366"/>
    <w:rsid w:val="00512F6E"/>
    <w:rsid w:val="00513038"/>
    <w:rsid w:val="00514174"/>
    <w:rsid w:val="00516088"/>
    <w:rsid w:val="0051683B"/>
    <w:rsid w:val="00516B0B"/>
    <w:rsid w:val="00520186"/>
    <w:rsid w:val="005207F4"/>
    <w:rsid w:val="005220EC"/>
    <w:rsid w:val="00523F95"/>
    <w:rsid w:val="005245B7"/>
    <w:rsid w:val="00524D65"/>
    <w:rsid w:val="00525B16"/>
    <w:rsid w:val="00533D04"/>
    <w:rsid w:val="005346B0"/>
    <w:rsid w:val="00534804"/>
    <w:rsid w:val="00534BDF"/>
    <w:rsid w:val="005354EA"/>
    <w:rsid w:val="00535EC4"/>
    <w:rsid w:val="00535ED9"/>
    <w:rsid w:val="0053692B"/>
    <w:rsid w:val="00536955"/>
    <w:rsid w:val="00540E7A"/>
    <w:rsid w:val="0054141E"/>
    <w:rsid w:val="00541853"/>
    <w:rsid w:val="00543BDA"/>
    <w:rsid w:val="005441BC"/>
    <w:rsid w:val="005441CC"/>
    <w:rsid w:val="005462BB"/>
    <w:rsid w:val="005479DA"/>
    <w:rsid w:val="00547BCC"/>
    <w:rsid w:val="0055013B"/>
    <w:rsid w:val="00551F6F"/>
    <w:rsid w:val="00554487"/>
    <w:rsid w:val="00555044"/>
    <w:rsid w:val="005558BC"/>
    <w:rsid w:val="00560A2D"/>
    <w:rsid w:val="00561475"/>
    <w:rsid w:val="0056487B"/>
    <w:rsid w:val="00564FB9"/>
    <w:rsid w:val="00571291"/>
    <w:rsid w:val="00571E75"/>
    <w:rsid w:val="00572EFA"/>
    <w:rsid w:val="00573D9E"/>
    <w:rsid w:val="00576108"/>
    <w:rsid w:val="005776FD"/>
    <w:rsid w:val="005801E3"/>
    <w:rsid w:val="00580D93"/>
    <w:rsid w:val="00581802"/>
    <w:rsid w:val="005836A8"/>
    <w:rsid w:val="0058409C"/>
    <w:rsid w:val="00584262"/>
    <w:rsid w:val="00586630"/>
    <w:rsid w:val="00587ADD"/>
    <w:rsid w:val="005931F3"/>
    <w:rsid w:val="00596160"/>
    <w:rsid w:val="005965E7"/>
    <w:rsid w:val="005966E2"/>
    <w:rsid w:val="00596965"/>
    <w:rsid w:val="00597007"/>
    <w:rsid w:val="005A0966"/>
    <w:rsid w:val="005A11B7"/>
    <w:rsid w:val="005A260B"/>
    <w:rsid w:val="005A2C3F"/>
    <w:rsid w:val="005A2EC4"/>
    <w:rsid w:val="005A39EC"/>
    <w:rsid w:val="005A4A1B"/>
    <w:rsid w:val="005A7830"/>
    <w:rsid w:val="005A7CEC"/>
    <w:rsid w:val="005A7FCE"/>
    <w:rsid w:val="005B0A9A"/>
    <w:rsid w:val="005B0F3F"/>
    <w:rsid w:val="005B4903"/>
    <w:rsid w:val="005B51CE"/>
    <w:rsid w:val="005B5885"/>
    <w:rsid w:val="005B5CD7"/>
    <w:rsid w:val="005B6CF6"/>
    <w:rsid w:val="005B7422"/>
    <w:rsid w:val="005C17B1"/>
    <w:rsid w:val="005C29B8"/>
    <w:rsid w:val="005C44E9"/>
    <w:rsid w:val="005C5F21"/>
    <w:rsid w:val="005C6334"/>
    <w:rsid w:val="005C7156"/>
    <w:rsid w:val="005D0C75"/>
    <w:rsid w:val="005D1E63"/>
    <w:rsid w:val="005D4171"/>
    <w:rsid w:val="005D6A95"/>
    <w:rsid w:val="005D6B2C"/>
    <w:rsid w:val="005D6D9C"/>
    <w:rsid w:val="005E0CC2"/>
    <w:rsid w:val="005E1381"/>
    <w:rsid w:val="005E2335"/>
    <w:rsid w:val="005E2372"/>
    <w:rsid w:val="005E34CA"/>
    <w:rsid w:val="005E3B3B"/>
    <w:rsid w:val="005E3C18"/>
    <w:rsid w:val="005E4048"/>
    <w:rsid w:val="005E6318"/>
    <w:rsid w:val="005E6812"/>
    <w:rsid w:val="005E7829"/>
    <w:rsid w:val="005E7881"/>
    <w:rsid w:val="005E78E0"/>
    <w:rsid w:val="005F0D9C"/>
    <w:rsid w:val="005F284E"/>
    <w:rsid w:val="005F3F14"/>
    <w:rsid w:val="005F4C94"/>
    <w:rsid w:val="006015CE"/>
    <w:rsid w:val="00601D17"/>
    <w:rsid w:val="00601E77"/>
    <w:rsid w:val="006020A9"/>
    <w:rsid w:val="0060223C"/>
    <w:rsid w:val="00604784"/>
    <w:rsid w:val="006057A8"/>
    <w:rsid w:val="00606419"/>
    <w:rsid w:val="0060690E"/>
    <w:rsid w:val="006070B2"/>
    <w:rsid w:val="00607D29"/>
    <w:rsid w:val="0061224B"/>
    <w:rsid w:val="00612952"/>
    <w:rsid w:val="00614CC1"/>
    <w:rsid w:val="00615A9D"/>
    <w:rsid w:val="00616953"/>
    <w:rsid w:val="00617387"/>
    <w:rsid w:val="00623519"/>
    <w:rsid w:val="006252D8"/>
    <w:rsid w:val="006259BC"/>
    <w:rsid w:val="0062636B"/>
    <w:rsid w:val="006301A5"/>
    <w:rsid w:val="00632182"/>
    <w:rsid w:val="00632AE0"/>
    <w:rsid w:val="00633C17"/>
    <w:rsid w:val="00636E3E"/>
    <w:rsid w:val="006377BA"/>
    <w:rsid w:val="006379F7"/>
    <w:rsid w:val="00637E4D"/>
    <w:rsid w:val="00640620"/>
    <w:rsid w:val="00641A1F"/>
    <w:rsid w:val="00643BE2"/>
    <w:rsid w:val="0064528D"/>
    <w:rsid w:val="00645904"/>
    <w:rsid w:val="006506FB"/>
    <w:rsid w:val="00651ACB"/>
    <w:rsid w:val="00651C47"/>
    <w:rsid w:val="00651E1F"/>
    <w:rsid w:val="006520ED"/>
    <w:rsid w:val="0065241C"/>
    <w:rsid w:val="00652728"/>
    <w:rsid w:val="00652AB2"/>
    <w:rsid w:val="00654EC0"/>
    <w:rsid w:val="0065525B"/>
    <w:rsid w:val="006553A6"/>
    <w:rsid w:val="00655D4F"/>
    <w:rsid w:val="00656A2B"/>
    <w:rsid w:val="006640E5"/>
    <w:rsid w:val="00664661"/>
    <w:rsid w:val="006646F1"/>
    <w:rsid w:val="00664929"/>
    <w:rsid w:val="00664A05"/>
    <w:rsid w:val="00664F62"/>
    <w:rsid w:val="006655E1"/>
    <w:rsid w:val="006665B6"/>
    <w:rsid w:val="006673C4"/>
    <w:rsid w:val="006701CB"/>
    <w:rsid w:val="00670E44"/>
    <w:rsid w:val="00672060"/>
    <w:rsid w:val="00672BFD"/>
    <w:rsid w:val="00673958"/>
    <w:rsid w:val="00675A74"/>
    <w:rsid w:val="006770F4"/>
    <w:rsid w:val="00677A84"/>
    <w:rsid w:val="0068026D"/>
    <w:rsid w:val="0068028C"/>
    <w:rsid w:val="00680A27"/>
    <w:rsid w:val="006816A4"/>
    <w:rsid w:val="006819B8"/>
    <w:rsid w:val="006826A1"/>
    <w:rsid w:val="00683A87"/>
    <w:rsid w:val="006840A6"/>
    <w:rsid w:val="006850CD"/>
    <w:rsid w:val="00685AAB"/>
    <w:rsid w:val="00685BC4"/>
    <w:rsid w:val="006902BB"/>
    <w:rsid w:val="0069049A"/>
    <w:rsid w:val="00692108"/>
    <w:rsid w:val="00693B7E"/>
    <w:rsid w:val="006956B7"/>
    <w:rsid w:val="0069642C"/>
    <w:rsid w:val="006A07AA"/>
    <w:rsid w:val="006A11DD"/>
    <w:rsid w:val="006A25E5"/>
    <w:rsid w:val="006A2B46"/>
    <w:rsid w:val="006A336D"/>
    <w:rsid w:val="006A37B9"/>
    <w:rsid w:val="006B0301"/>
    <w:rsid w:val="006B2568"/>
    <w:rsid w:val="006B2672"/>
    <w:rsid w:val="006B54BF"/>
    <w:rsid w:val="006B5F44"/>
    <w:rsid w:val="006B5F90"/>
    <w:rsid w:val="006B62E4"/>
    <w:rsid w:val="006B6524"/>
    <w:rsid w:val="006B7562"/>
    <w:rsid w:val="006C128F"/>
    <w:rsid w:val="006C1BBA"/>
    <w:rsid w:val="006C2079"/>
    <w:rsid w:val="006C317D"/>
    <w:rsid w:val="006C5A62"/>
    <w:rsid w:val="006C5D68"/>
    <w:rsid w:val="006C6976"/>
    <w:rsid w:val="006C6DD0"/>
    <w:rsid w:val="006D04EA"/>
    <w:rsid w:val="006D16C4"/>
    <w:rsid w:val="006D215A"/>
    <w:rsid w:val="006D39AD"/>
    <w:rsid w:val="006D3E96"/>
    <w:rsid w:val="006D4515"/>
    <w:rsid w:val="006D47DA"/>
    <w:rsid w:val="006D4BB1"/>
    <w:rsid w:val="006D6593"/>
    <w:rsid w:val="006D686E"/>
    <w:rsid w:val="006E0C8A"/>
    <w:rsid w:val="006E1738"/>
    <w:rsid w:val="006E1898"/>
    <w:rsid w:val="006E5370"/>
    <w:rsid w:val="006E673F"/>
    <w:rsid w:val="006F03A8"/>
    <w:rsid w:val="006F126C"/>
    <w:rsid w:val="006F255E"/>
    <w:rsid w:val="006F2ACA"/>
    <w:rsid w:val="006F2ADC"/>
    <w:rsid w:val="006F2BFE"/>
    <w:rsid w:val="006F2EE2"/>
    <w:rsid w:val="006F31E9"/>
    <w:rsid w:val="006F56E5"/>
    <w:rsid w:val="006F6284"/>
    <w:rsid w:val="007002C5"/>
    <w:rsid w:val="0070348B"/>
    <w:rsid w:val="00703498"/>
    <w:rsid w:val="00703ECA"/>
    <w:rsid w:val="00704387"/>
    <w:rsid w:val="00707669"/>
    <w:rsid w:val="00711CBA"/>
    <w:rsid w:val="00711FB5"/>
    <w:rsid w:val="00712339"/>
    <w:rsid w:val="00712A01"/>
    <w:rsid w:val="00712A08"/>
    <w:rsid w:val="00714F58"/>
    <w:rsid w:val="00716B5C"/>
    <w:rsid w:val="00722FBF"/>
    <w:rsid w:val="00722FC2"/>
    <w:rsid w:val="00725629"/>
    <w:rsid w:val="00725949"/>
    <w:rsid w:val="00727FA2"/>
    <w:rsid w:val="007303C2"/>
    <w:rsid w:val="007322D9"/>
    <w:rsid w:val="00732BC0"/>
    <w:rsid w:val="00732F4E"/>
    <w:rsid w:val="00735397"/>
    <w:rsid w:val="00736128"/>
    <w:rsid w:val="0073720F"/>
    <w:rsid w:val="00737796"/>
    <w:rsid w:val="00741126"/>
    <w:rsid w:val="0074165C"/>
    <w:rsid w:val="00742C35"/>
    <w:rsid w:val="007432CA"/>
    <w:rsid w:val="007439EB"/>
    <w:rsid w:val="00743CB4"/>
    <w:rsid w:val="00743F0A"/>
    <w:rsid w:val="007444E8"/>
    <w:rsid w:val="0074548E"/>
    <w:rsid w:val="00745773"/>
    <w:rsid w:val="00746800"/>
    <w:rsid w:val="00747989"/>
    <w:rsid w:val="00747CF0"/>
    <w:rsid w:val="007501A8"/>
    <w:rsid w:val="00750EE1"/>
    <w:rsid w:val="00752B4D"/>
    <w:rsid w:val="0075318D"/>
    <w:rsid w:val="0075338D"/>
    <w:rsid w:val="0075360C"/>
    <w:rsid w:val="00753981"/>
    <w:rsid w:val="00755402"/>
    <w:rsid w:val="00756B26"/>
    <w:rsid w:val="00756EDF"/>
    <w:rsid w:val="007570CC"/>
    <w:rsid w:val="007647AC"/>
    <w:rsid w:val="00765C43"/>
    <w:rsid w:val="00765EFB"/>
    <w:rsid w:val="007671CA"/>
    <w:rsid w:val="007672DE"/>
    <w:rsid w:val="0076744F"/>
    <w:rsid w:val="00767C61"/>
    <w:rsid w:val="0077008A"/>
    <w:rsid w:val="007730E3"/>
    <w:rsid w:val="00773C1F"/>
    <w:rsid w:val="007748D1"/>
    <w:rsid w:val="00774DA4"/>
    <w:rsid w:val="00776599"/>
    <w:rsid w:val="0078114B"/>
    <w:rsid w:val="00781DD2"/>
    <w:rsid w:val="00782B11"/>
    <w:rsid w:val="00783101"/>
    <w:rsid w:val="00783C99"/>
    <w:rsid w:val="00783ECF"/>
    <w:rsid w:val="0078413A"/>
    <w:rsid w:val="007925DC"/>
    <w:rsid w:val="00793B30"/>
    <w:rsid w:val="007952FA"/>
    <w:rsid w:val="007959E8"/>
    <w:rsid w:val="00795E9C"/>
    <w:rsid w:val="007962F3"/>
    <w:rsid w:val="007A0521"/>
    <w:rsid w:val="007A1D1E"/>
    <w:rsid w:val="007A2700"/>
    <w:rsid w:val="007A2E12"/>
    <w:rsid w:val="007A3475"/>
    <w:rsid w:val="007A392B"/>
    <w:rsid w:val="007A41C8"/>
    <w:rsid w:val="007A54CE"/>
    <w:rsid w:val="007A6FD9"/>
    <w:rsid w:val="007A7FFA"/>
    <w:rsid w:val="007B04EB"/>
    <w:rsid w:val="007B053D"/>
    <w:rsid w:val="007B064C"/>
    <w:rsid w:val="007B0D4F"/>
    <w:rsid w:val="007B11AC"/>
    <w:rsid w:val="007B2CD6"/>
    <w:rsid w:val="007B3260"/>
    <w:rsid w:val="007B4DE7"/>
    <w:rsid w:val="007B507A"/>
    <w:rsid w:val="007B5A3D"/>
    <w:rsid w:val="007B5B95"/>
    <w:rsid w:val="007B68EA"/>
    <w:rsid w:val="007B7453"/>
    <w:rsid w:val="007C1B3B"/>
    <w:rsid w:val="007C2D89"/>
    <w:rsid w:val="007C4593"/>
    <w:rsid w:val="007C5309"/>
    <w:rsid w:val="007C6069"/>
    <w:rsid w:val="007C6ED3"/>
    <w:rsid w:val="007D0316"/>
    <w:rsid w:val="007D06C4"/>
    <w:rsid w:val="007D1352"/>
    <w:rsid w:val="007D2508"/>
    <w:rsid w:val="007D25EC"/>
    <w:rsid w:val="007D2690"/>
    <w:rsid w:val="007D2F46"/>
    <w:rsid w:val="007D346A"/>
    <w:rsid w:val="007D6518"/>
    <w:rsid w:val="007D76BD"/>
    <w:rsid w:val="007E063C"/>
    <w:rsid w:val="007E0BF1"/>
    <w:rsid w:val="007E0D02"/>
    <w:rsid w:val="007E184F"/>
    <w:rsid w:val="007E258B"/>
    <w:rsid w:val="007E2DFC"/>
    <w:rsid w:val="007E389F"/>
    <w:rsid w:val="007F0ED8"/>
    <w:rsid w:val="007F0F63"/>
    <w:rsid w:val="007F18AD"/>
    <w:rsid w:val="007F3748"/>
    <w:rsid w:val="007F75CE"/>
    <w:rsid w:val="007F7CD9"/>
    <w:rsid w:val="008013A4"/>
    <w:rsid w:val="008027CE"/>
    <w:rsid w:val="00802F2B"/>
    <w:rsid w:val="00802F42"/>
    <w:rsid w:val="00804383"/>
    <w:rsid w:val="00804BB7"/>
    <w:rsid w:val="00805A0C"/>
    <w:rsid w:val="008073E0"/>
    <w:rsid w:val="00807BE4"/>
    <w:rsid w:val="00810257"/>
    <w:rsid w:val="008104F5"/>
    <w:rsid w:val="00811072"/>
    <w:rsid w:val="00811369"/>
    <w:rsid w:val="00812BFA"/>
    <w:rsid w:val="00813A12"/>
    <w:rsid w:val="00815419"/>
    <w:rsid w:val="00815B1B"/>
    <w:rsid w:val="008163C8"/>
    <w:rsid w:val="008164A1"/>
    <w:rsid w:val="00817325"/>
    <w:rsid w:val="008209E6"/>
    <w:rsid w:val="00823303"/>
    <w:rsid w:val="008233B2"/>
    <w:rsid w:val="00823A9F"/>
    <w:rsid w:val="00823C85"/>
    <w:rsid w:val="00825138"/>
    <w:rsid w:val="0082679B"/>
    <w:rsid w:val="008269DD"/>
    <w:rsid w:val="00830621"/>
    <w:rsid w:val="00830EC5"/>
    <w:rsid w:val="0083348C"/>
    <w:rsid w:val="008373D3"/>
    <w:rsid w:val="00837956"/>
    <w:rsid w:val="00840617"/>
    <w:rsid w:val="008427B0"/>
    <w:rsid w:val="00842A47"/>
    <w:rsid w:val="00842F47"/>
    <w:rsid w:val="00843C13"/>
    <w:rsid w:val="00844851"/>
    <w:rsid w:val="008454F8"/>
    <w:rsid w:val="00846EDB"/>
    <w:rsid w:val="00850A02"/>
    <w:rsid w:val="0085173A"/>
    <w:rsid w:val="00854343"/>
    <w:rsid w:val="00855788"/>
    <w:rsid w:val="00855BE4"/>
    <w:rsid w:val="00860297"/>
    <w:rsid w:val="008603CE"/>
    <w:rsid w:val="00861011"/>
    <w:rsid w:val="00861987"/>
    <w:rsid w:val="008620FC"/>
    <w:rsid w:val="0086265B"/>
    <w:rsid w:val="008627A5"/>
    <w:rsid w:val="00863E05"/>
    <w:rsid w:val="0086431E"/>
    <w:rsid w:val="00864A01"/>
    <w:rsid w:val="00864B35"/>
    <w:rsid w:val="00864FC0"/>
    <w:rsid w:val="00865ACA"/>
    <w:rsid w:val="00865D28"/>
    <w:rsid w:val="00865F85"/>
    <w:rsid w:val="008666D4"/>
    <w:rsid w:val="00867C10"/>
    <w:rsid w:val="00870439"/>
    <w:rsid w:val="00870DA1"/>
    <w:rsid w:val="00872FD1"/>
    <w:rsid w:val="00873B15"/>
    <w:rsid w:val="00874E4E"/>
    <w:rsid w:val="00883F93"/>
    <w:rsid w:val="00884DB3"/>
    <w:rsid w:val="00885A9D"/>
    <w:rsid w:val="008864F6"/>
    <w:rsid w:val="00890293"/>
    <w:rsid w:val="0089049D"/>
    <w:rsid w:val="0089078C"/>
    <w:rsid w:val="008911BD"/>
    <w:rsid w:val="008928C9"/>
    <w:rsid w:val="008938DC"/>
    <w:rsid w:val="00893FD1"/>
    <w:rsid w:val="008947E4"/>
    <w:rsid w:val="00894836"/>
    <w:rsid w:val="00894F86"/>
    <w:rsid w:val="00895172"/>
    <w:rsid w:val="00895680"/>
    <w:rsid w:val="00896D5A"/>
    <w:rsid w:val="00896DFF"/>
    <w:rsid w:val="0089762C"/>
    <w:rsid w:val="008A1893"/>
    <w:rsid w:val="008A5F3F"/>
    <w:rsid w:val="008A769A"/>
    <w:rsid w:val="008B0BD8"/>
    <w:rsid w:val="008B0C9C"/>
    <w:rsid w:val="008B166D"/>
    <w:rsid w:val="008B17F4"/>
    <w:rsid w:val="008B3615"/>
    <w:rsid w:val="008B4AC4"/>
    <w:rsid w:val="008B4B21"/>
    <w:rsid w:val="008B4B64"/>
    <w:rsid w:val="008B50C8"/>
    <w:rsid w:val="008B5281"/>
    <w:rsid w:val="008B7AD4"/>
    <w:rsid w:val="008B7E05"/>
    <w:rsid w:val="008C007F"/>
    <w:rsid w:val="008C0509"/>
    <w:rsid w:val="008C173D"/>
    <w:rsid w:val="008C1797"/>
    <w:rsid w:val="008C219C"/>
    <w:rsid w:val="008C475E"/>
    <w:rsid w:val="008C4767"/>
    <w:rsid w:val="008C5866"/>
    <w:rsid w:val="008C619A"/>
    <w:rsid w:val="008C7C02"/>
    <w:rsid w:val="008D0CE8"/>
    <w:rsid w:val="008D2D1D"/>
    <w:rsid w:val="008D4319"/>
    <w:rsid w:val="008D453D"/>
    <w:rsid w:val="008D5198"/>
    <w:rsid w:val="008D53AD"/>
    <w:rsid w:val="008D55EA"/>
    <w:rsid w:val="008D562B"/>
    <w:rsid w:val="008D5733"/>
    <w:rsid w:val="008D5F3B"/>
    <w:rsid w:val="008D622B"/>
    <w:rsid w:val="008D666C"/>
    <w:rsid w:val="008D7B54"/>
    <w:rsid w:val="008E0C9D"/>
    <w:rsid w:val="008E1648"/>
    <w:rsid w:val="008E1B3E"/>
    <w:rsid w:val="008E2319"/>
    <w:rsid w:val="008E4BB6"/>
    <w:rsid w:val="008E5518"/>
    <w:rsid w:val="008E6A84"/>
    <w:rsid w:val="008F0483"/>
    <w:rsid w:val="008F0CDC"/>
    <w:rsid w:val="008F17A3"/>
    <w:rsid w:val="008F1ED3"/>
    <w:rsid w:val="008F4000"/>
    <w:rsid w:val="008F4C29"/>
    <w:rsid w:val="008F58DC"/>
    <w:rsid w:val="008F70BD"/>
    <w:rsid w:val="008F788F"/>
    <w:rsid w:val="008F7EA2"/>
    <w:rsid w:val="0090022A"/>
    <w:rsid w:val="009026A1"/>
    <w:rsid w:val="00902722"/>
    <w:rsid w:val="009027BC"/>
    <w:rsid w:val="009062E6"/>
    <w:rsid w:val="00911BE5"/>
    <w:rsid w:val="00913CA9"/>
    <w:rsid w:val="009145AE"/>
    <w:rsid w:val="009146CE"/>
    <w:rsid w:val="00914CA7"/>
    <w:rsid w:val="009151F0"/>
    <w:rsid w:val="00915C3E"/>
    <w:rsid w:val="009161A8"/>
    <w:rsid w:val="009170F5"/>
    <w:rsid w:val="009225D5"/>
    <w:rsid w:val="0092316B"/>
    <w:rsid w:val="009245F5"/>
    <w:rsid w:val="009249EC"/>
    <w:rsid w:val="009273B3"/>
    <w:rsid w:val="009305B5"/>
    <w:rsid w:val="0093552E"/>
    <w:rsid w:val="00937076"/>
    <w:rsid w:val="00940B77"/>
    <w:rsid w:val="009429D5"/>
    <w:rsid w:val="00942BF1"/>
    <w:rsid w:val="00945180"/>
    <w:rsid w:val="00945428"/>
    <w:rsid w:val="0094607B"/>
    <w:rsid w:val="00950696"/>
    <w:rsid w:val="00953271"/>
    <w:rsid w:val="00953604"/>
    <w:rsid w:val="0095432C"/>
    <w:rsid w:val="0095496B"/>
    <w:rsid w:val="0096026A"/>
    <w:rsid w:val="009610DC"/>
    <w:rsid w:val="009611E2"/>
    <w:rsid w:val="00961490"/>
    <w:rsid w:val="00961EF1"/>
    <w:rsid w:val="00961FA3"/>
    <w:rsid w:val="0096381A"/>
    <w:rsid w:val="00965E04"/>
    <w:rsid w:val="00965EE7"/>
    <w:rsid w:val="00966489"/>
    <w:rsid w:val="009666F0"/>
    <w:rsid w:val="0096741F"/>
    <w:rsid w:val="009674AD"/>
    <w:rsid w:val="009676D1"/>
    <w:rsid w:val="00967A17"/>
    <w:rsid w:val="00970CDC"/>
    <w:rsid w:val="00974A35"/>
    <w:rsid w:val="00977010"/>
    <w:rsid w:val="00977D02"/>
    <w:rsid w:val="009809BB"/>
    <w:rsid w:val="009818A5"/>
    <w:rsid w:val="00981A57"/>
    <w:rsid w:val="0098364B"/>
    <w:rsid w:val="00985C4F"/>
    <w:rsid w:val="009911AF"/>
    <w:rsid w:val="00991875"/>
    <w:rsid w:val="00991F92"/>
    <w:rsid w:val="0099201D"/>
    <w:rsid w:val="00992985"/>
    <w:rsid w:val="00993285"/>
    <w:rsid w:val="00993889"/>
    <w:rsid w:val="00994782"/>
    <w:rsid w:val="00994A89"/>
    <w:rsid w:val="0099551B"/>
    <w:rsid w:val="00997BF1"/>
    <w:rsid w:val="009A089C"/>
    <w:rsid w:val="009A0B97"/>
    <w:rsid w:val="009A0EFD"/>
    <w:rsid w:val="009A118E"/>
    <w:rsid w:val="009A21CD"/>
    <w:rsid w:val="009A278C"/>
    <w:rsid w:val="009A2BC2"/>
    <w:rsid w:val="009A3E43"/>
    <w:rsid w:val="009A42C1"/>
    <w:rsid w:val="009A5429"/>
    <w:rsid w:val="009A616D"/>
    <w:rsid w:val="009A72AD"/>
    <w:rsid w:val="009B09E0"/>
    <w:rsid w:val="009B0BC5"/>
    <w:rsid w:val="009B1247"/>
    <w:rsid w:val="009B6029"/>
    <w:rsid w:val="009B62DB"/>
    <w:rsid w:val="009B6464"/>
    <w:rsid w:val="009B6971"/>
    <w:rsid w:val="009B6AB4"/>
    <w:rsid w:val="009B6E74"/>
    <w:rsid w:val="009C0600"/>
    <w:rsid w:val="009C1295"/>
    <w:rsid w:val="009C230D"/>
    <w:rsid w:val="009C27F1"/>
    <w:rsid w:val="009C3152"/>
    <w:rsid w:val="009C3C51"/>
    <w:rsid w:val="009C4CFA"/>
    <w:rsid w:val="009C5070"/>
    <w:rsid w:val="009C5E92"/>
    <w:rsid w:val="009C6029"/>
    <w:rsid w:val="009C641F"/>
    <w:rsid w:val="009C6D91"/>
    <w:rsid w:val="009D0277"/>
    <w:rsid w:val="009D112C"/>
    <w:rsid w:val="009D1A4A"/>
    <w:rsid w:val="009D47FA"/>
    <w:rsid w:val="009D4C4A"/>
    <w:rsid w:val="009D50C5"/>
    <w:rsid w:val="009D50D2"/>
    <w:rsid w:val="009D6BCA"/>
    <w:rsid w:val="009D72B9"/>
    <w:rsid w:val="009E0F62"/>
    <w:rsid w:val="009E1848"/>
    <w:rsid w:val="009E20DD"/>
    <w:rsid w:val="009E4A58"/>
    <w:rsid w:val="009E5A2D"/>
    <w:rsid w:val="009E5AB2"/>
    <w:rsid w:val="009E6219"/>
    <w:rsid w:val="009E7F6C"/>
    <w:rsid w:val="009F03B3"/>
    <w:rsid w:val="009F339D"/>
    <w:rsid w:val="009F7454"/>
    <w:rsid w:val="00A01757"/>
    <w:rsid w:val="00A028C0"/>
    <w:rsid w:val="00A02BAE"/>
    <w:rsid w:val="00A05AA6"/>
    <w:rsid w:val="00A05F99"/>
    <w:rsid w:val="00A06A6B"/>
    <w:rsid w:val="00A07E47"/>
    <w:rsid w:val="00A129D0"/>
    <w:rsid w:val="00A12C33"/>
    <w:rsid w:val="00A138BA"/>
    <w:rsid w:val="00A14C8E"/>
    <w:rsid w:val="00A153D9"/>
    <w:rsid w:val="00A1577D"/>
    <w:rsid w:val="00A15F09"/>
    <w:rsid w:val="00A169B6"/>
    <w:rsid w:val="00A16A4D"/>
    <w:rsid w:val="00A170F2"/>
    <w:rsid w:val="00A2271D"/>
    <w:rsid w:val="00A237D5"/>
    <w:rsid w:val="00A2383B"/>
    <w:rsid w:val="00A30EFC"/>
    <w:rsid w:val="00A31984"/>
    <w:rsid w:val="00A32D73"/>
    <w:rsid w:val="00A333F8"/>
    <w:rsid w:val="00A3367B"/>
    <w:rsid w:val="00A3597D"/>
    <w:rsid w:val="00A3692B"/>
    <w:rsid w:val="00A36A1D"/>
    <w:rsid w:val="00A37A79"/>
    <w:rsid w:val="00A37C81"/>
    <w:rsid w:val="00A4006C"/>
    <w:rsid w:val="00A40091"/>
    <w:rsid w:val="00A4030F"/>
    <w:rsid w:val="00A41C79"/>
    <w:rsid w:val="00A41CB5"/>
    <w:rsid w:val="00A42CDF"/>
    <w:rsid w:val="00A4307B"/>
    <w:rsid w:val="00A4452E"/>
    <w:rsid w:val="00A4472C"/>
    <w:rsid w:val="00A44C45"/>
    <w:rsid w:val="00A44E69"/>
    <w:rsid w:val="00A4661E"/>
    <w:rsid w:val="00A47E15"/>
    <w:rsid w:val="00A50248"/>
    <w:rsid w:val="00A55BD6"/>
    <w:rsid w:val="00A55D50"/>
    <w:rsid w:val="00A57142"/>
    <w:rsid w:val="00A5744F"/>
    <w:rsid w:val="00A61D48"/>
    <w:rsid w:val="00A648CD"/>
    <w:rsid w:val="00A64CFC"/>
    <w:rsid w:val="00A6537A"/>
    <w:rsid w:val="00A67866"/>
    <w:rsid w:val="00A70B07"/>
    <w:rsid w:val="00A71E21"/>
    <w:rsid w:val="00A71F6B"/>
    <w:rsid w:val="00A723F8"/>
    <w:rsid w:val="00A73D26"/>
    <w:rsid w:val="00A74BE3"/>
    <w:rsid w:val="00A77CCB"/>
    <w:rsid w:val="00A83D8D"/>
    <w:rsid w:val="00A8446B"/>
    <w:rsid w:val="00A8473F"/>
    <w:rsid w:val="00A84A61"/>
    <w:rsid w:val="00A862D6"/>
    <w:rsid w:val="00A8715E"/>
    <w:rsid w:val="00A87647"/>
    <w:rsid w:val="00A907C6"/>
    <w:rsid w:val="00A9295B"/>
    <w:rsid w:val="00A93B09"/>
    <w:rsid w:val="00A952D7"/>
    <w:rsid w:val="00A963F7"/>
    <w:rsid w:val="00A96AD8"/>
    <w:rsid w:val="00AA052C"/>
    <w:rsid w:val="00AA1924"/>
    <w:rsid w:val="00AA1E45"/>
    <w:rsid w:val="00AA30E6"/>
    <w:rsid w:val="00AA4286"/>
    <w:rsid w:val="00AA456B"/>
    <w:rsid w:val="00AA57F5"/>
    <w:rsid w:val="00AA672E"/>
    <w:rsid w:val="00AA6EC9"/>
    <w:rsid w:val="00AA79C7"/>
    <w:rsid w:val="00AB3104"/>
    <w:rsid w:val="00AB537D"/>
    <w:rsid w:val="00AB6309"/>
    <w:rsid w:val="00AB6C5F"/>
    <w:rsid w:val="00AB6E7C"/>
    <w:rsid w:val="00AB7129"/>
    <w:rsid w:val="00AC0DF7"/>
    <w:rsid w:val="00AC27A6"/>
    <w:rsid w:val="00AC30F7"/>
    <w:rsid w:val="00AC3A5A"/>
    <w:rsid w:val="00AC4D95"/>
    <w:rsid w:val="00AC5DF4"/>
    <w:rsid w:val="00AC702D"/>
    <w:rsid w:val="00AD0AEF"/>
    <w:rsid w:val="00AD11B7"/>
    <w:rsid w:val="00AD1A94"/>
    <w:rsid w:val="00AD1C05"/>
    <w:rsid w:val="00AD4126"/>
    <w:rsid w:val="00AD421C"/>
    <w:rsid w:val="00AD44FA"/>
    <w:rsid w:val="00AD5D89"/>
    <w:rsid w:val="00AE070A"/>
    <w:rsid w:val="00AE096D"/>
    <w:rsid w:val="00AE101C"/>
    <w:rsid w:val="00AE232F"/>
    <w:rsid w:val="00AE5EB4"/>
    <w:rsid w:val="00AF0C18"/>
    <w:rsid w:val="00AF2FE8"/>
    <w:rsid w:val="00AF47C5"/>
    <w:rsid w:val="00AF5398"/>
    <w:rsid w:val="00AF65FF"/>
    <w:rsid w:val="00AF7B83"/>
    <w:rsid w:val="00B00278"/>
    <w:rsid w:val="00B03BEF"/>
    <w:rsid w:val="00B04190"/>
    <w:rsid w:val="00B049AF"/>
    <w:rsid w:val="00B04F84"/>
    <w:rsid w:val="00B05775"/>
    <w:rsid w:val="00B05FC2"/>
    <w:rsid w:val="00B0648D"/>
    <w:rsid w:val="00B07242"/>
    <w:rsid w:val="00B10534"/>
    <w:rsid w:val="00B113DB"/>
    <w:rsid w:val="00B11D8A"/>
    <w:rsid w:val="00B12981"/>
    <w:rsid w:val="00B14335"/>
    <w:rsid w:val="00B147DD"/>
    <w:rsid w:val="00B156FD"/>
    <w:rsid w:val="00B20E42"/>
    <w:rsid w:val="00B21F61"/>
    <w:rsid w:val="00B234B3"/>
    <w:rsid w:val="00B23A13"/>
    <w:rsid w:val="00B25B40"/>
    <w:rsid w:val="00B261F1"/>
    <w:rsid w:val="00B265BC"/>
    <w:rsid w:val="00B269F3"/>
    <w:rsid w:val="00B31FB1"/>
    <w:rsid w:val="00B33952"/>
    <w:rsid w:val="00B33C5E"/>
    <w:rsid w:val="00B33EBE"/>
    <w:rsid w:val="00B34284"/>
    <w:rsid w:val="00B342F4"/>
    <w:rsid w:val="00B34369"/>
    <w:rsid w:val="00B34DC2"/>
    <w:rsid w:val="00B378E5"/>
    <w:rsid w:val="00B4346D"/>
    <w:rsid w:val="00B440F4"/>
    <w:rsid w:val="00B447A5"/>
    <w:rsid w:val="00B44BD9"/>
    <w:rsid w:val="00B4654C"/>
    <w:rsid w:val="00B47293"/>
    <w:rsid w:val="00B4765F"/>
    <w:rsid w:val="00B50E50"/>
    <w:rsid w:val="00B52120"/>
    <w:rsid w:val="00B54ABC"/>
    <w:rsid w:val="00B56FBE"/>
    <w:rsid w:val="00B62B58"/>
    <w:rsid w:val="00B64745"/>
    <w:rsid w:val="00B65149"/>
    <w:rsid w:val="00B65210"/>
    <w:rsid w:val="00B65F48"/>
    <w:rsid w:val="00B66567"/>
    <w:rsid w:val="00B66F52"/>
    <w:rsid w:val="00B66FE5"/>
    <w:rsid w:val="00B71968"/>
    <w:rsid w:val="00B72880"/>
    <w:rsid w:val="00B739FA"/>
    <w:rsid w:val="00B743CB"/>
    <w:rsid w:val="00B758BF"/>
    <w:rsid w:val="00B766EB"/>
    <w:rsid w:val="00B827A6"/>
    <w:rsid w:val="00B831CE"/>
    <w:rsid w:val="00B86677"/>
    <w:rsid w:val="00B87131"/>
    <w:rsid w:val="00B90A47"/>
    <w:rsid w:val="00B92538"/>
    <w:rsid w:val="00B939B1"/>
    <w:rsid w:val="00B96D40"/>
    <w:rsid w:val="00B97386"/>
    <w:rsid w:val="00B978DB"/>
    <w:rsid w:val="00BA0575"/>
    <w:rsid w:val="00BA2275"/>
    <w:rsid w:val="00BA263B"/>
    <w:rsid w:val="00BA42B2"/>
    <w:rsid w:val="00BA4B12"/>
    <w:rsid w:val="00BA58D4"/>
    <w:rsid w:val="00BA5B9E"/>
    <w:rsid w:val="00BA6026"/>
    <w:rsid w:val="00BA7C9A"/>
    <w:rsid w:val="00BB0838"/>
    <w:rsid w:val="00BB398E"/>
    <w:rsid w:val="00BB4E1E"/>
    <w:rsid w:val="00BB5F8F"/>
    <w:rsid w:val="00BB657A"/>
    <w:rsid w:val="00BC0297"/>
    <w:rsid w:val="00BC1127"/>
    <w:rsid w:val="00BC1A4E"/>
    <w:rsid w:val="00BC2FA1"/>
    <w:rsid w:val="00BC5DC7"/>
    <w:rsid w:val="00BC6963"/>
    <w:rsid w:val="00BC6B8B"/>
    <w:rsid w:val="00BC73D8"/>
    <w:rsid w:val="00BD1510"/>
    <w:rsid w:val="00BD2FB5"/>
    <w:rsid w:val="00BD32B5"/>
    <w:rsid w:val="00BD37A2"/>
    <w:rsid w:val="00BD4D45"/>
    <w:rsid w:val="00BD52D7"/>
    <w:rsid w:val="00BD5AD2"/>
    <w:rsid w:val="00BE22F3"/>
    <w:rsid w:val="00BE5B52"/>
    <w:rsid w:val="00BE6C06"/>
    <w:rsid w:val="00BE7B8D"/>
    <w:rsid w:val="00BF0993"/>
    <w:rsid w:val="00BF0D14"/>
    <w:rsid w:val="00BF10A9"/>
    <w:rsid w:val="00BF1703"/>
    <w:rsid w:val="00BF231C"/>
    <w:rsid w:val="00BF51E5"/>
    <w:rsid w:val="00BF579B"/>
    <w:rsid w:val="00BF74A6"/>
    <w:rsid w:val="00BF7718"/>
    <w:rsid w:val="00C00D76"/>
    <w:rsid w:val="00C013AD"/>
    <w:rsid w:val="00C020FB"/>
    <w:rsid w:val="00C04904"/>
    <w:rsid w:val="00C056B3"/>
    <w:rsid w:val="00C077F9"/>
    <w:rsid w:val="00C07E9F"/>
    <w:rsid w:val="00C103E5"/>
    <w:rsid w:val="00C111B2"/>
    <w:rsid w:val="00C13319"/>
    <w:rsid w:val="00C13EE9"/>
    <w:rsid w:val="00C1503E"/>
    <w:rsid w:val="00C158FF"/>
    <w:rsid w:val="00C1703C"/>
    <w:rsid w:val="00C17772"/>
    <w:rsid w:val="00C20036"/>
    <w:rsid w:val="00C21540"/>
    <w:rsid w:val="00C21906"/>
    <w:rsid w:val="00C21BFA"/>
    <w:rsid w:val="00C23671"/>
    <w:rsid w:val="00C2419A"/>
    <w:rsid w:val="00C24545"/>
    <w:rsid w:val="00C24C8D"/>
    <w:rsid w:val="00C25FE2"/>
    <w:rsid w:val="00C260F4"/>
    <w:rsid w:val="00C26843"/>
    <w:rsid w:val="00C26B53"/>
    <w:rsid w:val="00C26C64"/>
    <w:rsid w:val="00C279B2"/>
    <w:rsid w:val="00C32703"/>
    <w:rsid w:val="00C32D56"/>
    <w:rsid w:val="00C33E50"/>
    <w:rsid w:val="00C34C20"/>
    <w:rsid w:val="00C35A3E"/>
    <w:rsid w:val="00C42130"/>
    <w:rsid w:val="00C423A4"/>
    <w:rsid w:val="00C42684"/>
    <w:rsid w:val="00C42E8E"/>
    <w:rsid w:val="00C441BA"/>
    <w:rsid w:val="00C44BF5"/>
    <w:rsid w:val="00C45308"/>
    <w:rsid w:val="00C463ED"/>
    <w:rsid w:val="00C46D3E"/>
    <w:rsid w:val="00C476C4"/>
    <w:rsid w:val="00C521D6"/>
    <w:rsid w:val="00C5432C"/>
    <w:rsid w:val="00C55232"/>
    <w:rsid w:val="00C553A4"/>
    <w:rsid w:val="00C5580E"/>
    <w:rsid w:val="00C55A06"/>
    <w:rsid w:val="00C55D03"/>
    <w:rsid w:val="00C601BC"/>
    <w:rsid w:val="00C60C7F"/>
    <w:rsid w:val="00C62587"/>
    <w:rsid w:val="00C6329F"/>
    <w:rsid w:val="00C63340"/>
    <w:rsid w:val="00C643F9"/>
    <w:rsid w:val="00C64E95"/>
    <w:rsid w:val="00C66169"/>
    <w:rsid w:val="00C71372"/>
    <w:rsid w:val="00C72410"/>
    <w:rsid w:val="00C7287F"/>
    <w:rsid w:val="00C7625C"/>
    <w:rsid w:val="00C80CB8"/>
    <w:rsid w:val="00C819F8"/>
    <w:rsid w:val="00C8248C"/>
    <w:rsid w:val="00C827BE"/>
    <w:rsid w:val="00C82D65"/>
    <w:rsid w:val="00C84E33"/>
    <w:rsid w:val="00C86D6F"/>
    <w:rsid w:val="00C903CD"/>
    <w:rsid w:val="00C905FC"/>
    <w:rsid w:val="00C90903"/>
    <w:rsid w:val="00C92D03"/>
    <w:rsid w:val="00C92ED1"/>
    <w:rsid w:val="00C9319C"/>
    <w:rsid w:val="00C9435D"/>
    <w:rsid w:val="00C96741"/>
    <w:rsid w:val="00C97C74"/>
    <w:rsid w:val="00CA2A66"/>
    <w:rsid w:val="00CA2D1B"/>
    <w:rsid w:val="00CA467F"/>
    <w:rsid w:val="00CA5C4C"/>
    <w:rsid w:val="00CA662A"/>
    <w:rsid w:val="00CA7AFD"/>
    <w:rsid w:val="00CA7C3C"/>
    <w:rsid w:val="00CB0189"/>
    <w:rsid w:val="00CB0BA2"/>
    <w:rsid w:val="00CB1A42"/>
    <w:rsid w:val="00CB1B0C"/>
    <w:rsid w:val="00CB275D"/>
    <w:rsid w:val="00CB2956"/>
    <w:rsid w:val="00CB2C0B"/>
    <w:rsid w:val="00CB3123"/>
    <w:rsid w:val="00CB517D"/>
    <w:rsid w:val="00CB758B"/>
    <w:rsid w:val="00CC038D"/>
    <w:rsid w:val="00CC39FF"/>
    <w:rsid w:val="00CC3C2F"/>
    <w:rsid w:val="00CC4AC8"/>
    <w:rsid w:val="00CC5233"/>
    <w:rsid w:val="00CC5DE6"/>
    <w:rsid w:val="00CC60A8"/>
    <w:rsid w:val="00CC6E4E"/>
    <w:rsid w:val="00CC6FE8"/>
    <w:rsid w:val="00CC7202"/>
    <w:rsid w:val="00CD1A47"/>
    <w:rsid w:val="00CD2808"/>
    <w:rsid w:val="00CD28BF"/>
    <w:rsid w:val="00CD2DEE"/>
    <w:rsid w:val="00CD4092"/>
    <w:rsid w:val="00CD4A20"/>
    <w:rsid w:val="00CD50A1"/>
    <w:rsid w:val="00CD519E"/>
    <w:rsid w:val="00CD5E2E"/>
    <w:rsid w:val="00CE0C4F"/>
    <w:rsid w:val="00CE27B9"/>
    <w:rsid w:val="00CE2B9A"/>
    <w:rsid w:val="00CE30EA"/>
    <w:rsid w:val="00CE4EF7"/>
    <w:rsid w:val="00CE5C12"/>
    <w:rsid w:val="00CE7D5D"/>
    <w:rsid w:val="00CE7ED9"/>
    <w:rsid w:val="00CE7F80"/>
    <w:rsid w:val="00CF0239"/>
    <w:rsid w:val="00CF048A"/>
    <w:rsid w:val="00CF155A"/>
    <w:rsid w:val="00CF2947"/>
    <w:rsid w:val="00CF3BE3"/>
    <w:rsid w:val="00CF4E76"/>
    <w:rsid w:val="00CF686F"/>
    <w:rsid w:val="00CF6E60"/>
    <w:rsid w:val="00CF7BCA"/>
    <w:rsid w:val="00D008FD"/>
    <w:rsid w:val="00D0321C"/>
    <w:rsid w:val="00D035EC"/>
    <w:rsid w:val="00D05675"/>
    <w:rsid w:val="00D061BB"/>
    <w:rsid w:val="00D06AB1"/>
    <w:rsid w:val="00D072ED"/>
    <w:rsid w:val="00D07A16"/>
    <w:rsid w:val="00D10021"/>
    <w:rsid w:val="00D1067E"/>
    <w:rsid w:val="00D10F50"/>
    <w:rsid w:val="00D11272"/>
    <w:rsid w:val="00D126F5"/>
    <w:rsid w:val="00D1489E"/>
    <w:rsid w:val="00D20737"/>
    <w:rsid w:val="00D211AC"/>
    <w:rsid w:val="00D21E81"/>
    <w:rsid w:val="00D223DE"/>
    <w:rsid w:val="00D25E37"/>
    <w:rsid w:val="00D2661A"/>
    <w:rsid w:val="00D26D4F"/>
    <w:rsid w:val="00D27582"/>
    <w:rsid w:val="00D32719"/>
    <w:rsid w:val="00D33333"/>
    <w:rsid w:val="00D34CB7"/>
    <w:rsid w:val="00D352A2"/>
    <w:rsid w:val="00D36AA3"/>
    <w:rsid w:val="00D4162B"/>
    <w:rsid w:val="00D4514F"/>
    <w:rsid w:val="00D451E2"/>
    <w:rsid w:val="00D45E89"/>
    <w:rsid w:val="00D45E8D"/>
    <w:rsid w:val="00D466AE"/>
    <w:rsid w:val="00D4734F"/>
    <w:rsid w:val="00D511AB"/>
    <w:rsid w:val="00D517B8"/>
    <w:rsid w:val="00D51BF3"/>
    <w:rsid w:val="00D54B98"/>
    <w:rsid w:val="00D56BC5"/>
    <w:rsid w:val="00D56D85"/>
    <w:rsid w:val="00D64DDC"/>
    <w:rsid w:val="00D66846"/>
    <w:rsid w:val="00D675FB"/>
    <w:rsid w:val="00D70E8C"/>
    <w:rsid w:val="00D71F25"/>
    <w:rsid w:val="00D77031"/>
    <w:rsid w:val="00D80A41"/>
    <w:rsid w:val="00D81136"/>
    <w:rsid w:val="00D81682"/>
    <w:rsid w:val="00D84941"/>
    <w:rsid w:val="00D84FA1"/>
    <w:rsid w:val="00D851F0"/>
    <w:rsid w:val="00D86DB7"/>
    <w:rsid w:val="00D9060C"/>
    <w:rsid w:val="00D9126E"/>
    <w:rsid w:val="00D926D0"/>
    <w:rsid w:val="00D93030"/>
    <w:rsid w:val="00D950E1"/>
    <w:rsid w:val="00D952A6"/>
    <w:rsid w:val="00D97D27"/>
    <w:rsid w:val="00D97F99"/>
    <w:rsid w:val="00DA1E08"/>
    <w:rsid w:val="00DA2170"/>
    <w:rsid w:val="00DA24F8"/>
    <w:rsid w:val="00DA28E8"/>
    <w:rsid w:val="00DA38D3"/>
    <w:rsid w:val="00DA3932"/>
    <w:rsid w:val="00DA3AFC"/>
    <w:rsid w:val="00DA64F8"/>
    <w:rsid w:val="00DA6C15"/>
    <w:rsid w:val="00DA7F1D"/>
    <w:rsid w:val="00DB02F8"/>
    <w:rsid w:val="00DB2320"/>
    <w:rsid w:val="00DB38EE"/>
    <w:rsid w:val="00DB498B"/>
    <w:rsid w:val="00DB52BE"/>
    <w:rsid w:val="00DB66CA"/>
    <w:rsid w:val="00DB6BCA"/>
    <w:rsid w:val="00DB7113"/>
    <w:rsid w:val="00DB7B80"/>
    <w:rsid w:val="00DC0321"/>
    <w:rsid w:val="00DC2B58"/>
    <w:rsid w:val="00DC3067"/>
    <w:rsid w:val="00DC32E1"/>
    <w:rsid w:val="00DC370B"/>
    <w:rsid w:val="00DC4F65"/>
    <w:rsid w:val="00DC4FB0"/>
    <w:rsid w:val="00DC5B90"/>
    <w:rsid w:val="00DD00FF"/>
    <w:rsid w:val="00DD0619"/>
    <w:rsid w:val="00DD07FB"/>
    <w:rsid w:val="00DD25C6"/>
    <w:rsid w:val="00DD312E"/>
    <w:rsid w:val="00DD3470"/>
    <w:rsid w:val="00DD3FD3"/>
    <w:rsid w:val="00DD4FE5"/>
    <w:rsid w:val="00DD528D"/>
    <w:rsid w:val="00DD54B0"/>
    <w:rsid w:val="00DD57EE"/>
    <w:rsid w:val="00DD6BCC"/>
    <w:rsid w:val="00DD6D78"/>
    <w:rsid w:val="00DE02F0"/>
    <w:rsid w:val="00DE0A4B"/>
    <w:rsid w:val="00DE2410"/>
    <w:rsid w:val="00DE2939"/>
    <w:rsid w:val="00DE5A4E"/>
    <w:rsid w:val="00DE5D5F"/>
    <w:rsid w:val="00DE677F"/>
    <w:rsid w:val="00DE6E81"/>
    <w:rsid w:val="00DE703F"/>
    <w:rsid w:val="00DE7595"/>
    <w:rsid w:val="00DF0C49"/>
    <w:rsid w:val="00DF1961"/>
    <w:rsid w:val="00DF44DE"/>
    <w:rsid w:val="00DF4A10"/>
    <w:rsid w:val="00E01138"/>
    <w:rsid w:val="00E02DFB"/>
    <w:rsid w:val="00E030F9"/>
    <w:rsid w:val="00E0311A"/>
    <w:rsid w:val="00E03138"/>
    <w:rsid w:val="00E04993"/>
    <w:rsid w:val="00E06404"/>
    <w:rsid w:val="00E11A3E"/>
    <w:rsid w:val="00E11A85"/>
    <w:rsid w:val="00E12495"/>
    <w:rsid w:val="00E15CCD"/>
    <w:rsid w:val="00E15D9E"/>
    <w:rsid w:val="00E16977"/>
    <w:rsid w:val="00E16B78"/>
    <w:rsid w:val="00E17F40"/>
    <w:rsid w:val="00E202EF"/>
    <w:rsid w:val="00E210B5"/>
    <w:rsid w:val="00E21AE0"/>
    <w:rsid w:val="00E23948"/>
    <w:rsid w:val="00E2552F"/>
    <w:rsid w:val="00E3137A"/>
    <w:rsid w:val="00E31F33"/>
    <w:rsid w:val="00E32213"/>
    <w:rsid w:val="00E32305"/>
    <w:rsid w:val="00E32CCF"/>
    <w:rsid w:val="00E32E84"/>
    <w:rsid w:val="00E33542"/>
    <w:rsid w:val="00E34A98"/>
    <w:rsid w:val="00E35866"/>
    <w:rsid w:val="00E35D1E"/>
    <w:rsid w:val="00E364F9"/>
    <w:rsid w:val="00E365FA"/>
    <w:rsid w:val="00E36789"/>
    <w:rsid w:val="00E40877"/>
    <w:rsid w:val="00E43C9B"/>
    <w:rsid w:val="00E44A83"/>
    <w:rsid w:val="00E502C1"/>
    <w:rsid w:val="00E502DD"/>
    <w:rsid w:val="00E50D3A"/>
    <w:rsid w:val="00E51387"/>
    <w:rsid w:val="00E5195E"/>
    <w:rsid w:val="00E51E68"/>
    <w:rsid w:val="00E52EFD"/>
    <w:rsid w:val="00E5408A"/>
    <w:rsid w:val="00E55903"/>
    <w:rsid w:val="00E562B6"/>
    <w:rsid w:val="00E56800"/>
    <w:rsid w:val="00E575A2"/>
    <w:rsid w:val="00E61C13"/>
    <w:rsid w:val="00E6244B"/>
    <w:rsid w:val="00E62A75"/>
    <w:rsid w:val="00E62FF9"/>
    <w:rsid w:val="00E635D6"/>
    <w:rsid w:val="00E639BC"/>
    <w:rsid w:val="00E664CC"/>
    <w:rsid w:val="00E70388"/>
    <w:rsid w:val="00E70B15"/>
    <w:rsid w:val="00E70F92"/>
    <w:rsid w:val="00E718A5"/>
    <w:rsid w:val="00E74C54"/>
    <w:rsid w:val="00E74D01"/>
    <w:rsid w:val="00E77A03"/>
    <w:rsid w:val="00E77AE3"/>
    <w:rsid w:val="00E822E8"/>
    <w:rsid w:val="00E82554"/>
    <w:rsid w:val="00E82606"/>
    <w:rsid w:val="00E846C8"/>
    <w:rsid w:val="00E84957"/>
    <w:rsid w:val="00E84A55"/>
    <w:rsid w:val="00E85BFF"/>
    <w:rsid w:val="00E90391"/>
    <w:rsid w:val="00E906C2"/>
    <w:rsid w:val="00E9070B"/>
    <w:rsid w:val="00E90ABE"/>
    <w:rsid w:val="00E91033"/>
    <w:rsid w:val="00E9311F"/>
    <w:rsid w:val="00E933CA"/>
    <w:rsid w:val="00E934D1"/>
    <w:rsid w:val="00E94AF0"/>
    <w:rsid w:val="00E95D13"/>
    <w:rsid w:val="00E95DD3"/>
    <w:rsid w:val="00E9619A"/>
    <w:rsid w:val="00E969D5"/>
    <w:rsid w:val="00EA58D1"/>
    <w:rsid w:val="00EA5F0D"/>
    <w:rsid w:val="00EA61BC"/>
    <w:rsid w:val="00EA681A"/>
    <w:rsid w:val="00EA735B"/>
    <w:rsid w:val="00EB16A7"/>
    <w:rsid w:val="00EB1E69"/>
    <w:rsid w:val="00EB2086"/>
    <w:rsid w:val="00EB43A3"/>
    <w:rsid w:val="00EB5B2F"/>
    <w:rsid w:val="00EB5EDF"/>
    <w:rsid w:val="00EB60FE"/>
    <w:rsid w:val="00EB678A"/>
    <w:rsid w:val="00EB74DB"/>
    <w:rsid w:val="00EC24A7"/>
    <w:rsid w:val="00EC3088"/>
    <w:rsid w:val="00EC5359"/>
    <w:rsid w:val="00EC562A"/>
    <w:rsid w:val="00EC6743"/>
    <w:rsid w:val="00ED067A"/>
    <w:rsid w:val="00ED2B50"/>
    <w:rsid w:val="00ED4055"/>
    <w:rsid w:val="00ED479F"/>
    <w:rsid w:val="00EE0350"/>
    <w:rsid w:val="00EE0719"/>
    <w:rsid w:val="00EE0E80"/>
    <w:rsid w:val="00EE27FB"/>
    <w:rsid w:val="00EE4F54"/>
    <w:rsid w:val="00EE546A"/>
    <w:rsid w:val="00EE5800"/>
    <w:rsid w:val="00EE613F"/>
    <w:rsid w:val="00EE7295"/>
    <w:rsid w:val="00EE72A3"/>
    <w:rsid w:val="00EE7869"/>
    <w:rsid w:val="00EF054A"/>
    <w:rsid w:val="00EF076D"/>
    <w:rsid w:val="00EF12DE"/>
    <w:rsid w:val="00EF13E6"/>
    <w:rsid w:val="00EF183C"/>
    <w:rsid w:val="00EF3235"/>
    <w:rsid w:val="00EF686E"/>
    <w:rsid w:val="00EF750D"/>
    <w:rsid w:val="00EF7E72"/>
    <w:rsid w:val="00F007C0"/>
    <w:rsid w:val="00F01542"/>
    <w:rsid w:val="00F019DF"/>
    <w:rsid w:val="00F03335"/>
    <w:rsid w:val="00F04336"/>
    <w:rsid w:val="00F06D37"/>
    <w:rsid w:val="00F07B9D"/>
    <w:rsid w:val="00F10138"/>
    <w:rsid w:val="00F10926"/>
    <w:rsid w:val="00F11586"/>
    <w:rsid w:val="00F1183B"/>
    <w:rsid w:val="00F11C9F"/>
    <w:rsid w:val="00F12263"/>
    <w:rsid w:val="00F1409D"/>
    <w:rsid w:val="00F14214"/>
    <w:rsid w:val="00F157A9"/>
    <w:rsid w:val="00F17868"/>
    <w:rsid w:val="00F23B96"/>
    <w:rsid w:val="00F25BB6"/>
    <w:rsid w:val="00F26B7E"/>
    <w:rsid w:val="00F26C8D"/>
    <w:rsid w:val="00F27A3B"/>
    <w:rsid w:val="00F31B49"/>
    <w:rsid w:val="00F33817"/>
    <w:rsid w:val="00F3447F"/>
    <w:rsid w:val="00F350D2"/>
    <w:rsid w:val="00F37953"/>
    <w:rsid w:val="00F420D5"/>
    <w:rsid w:val="00F424DC"/>
    <w:rsid w:val="00F42744"/>
    <w:rsid w:val="00F451EA"/>
    <w:rsid w:val="00F45447"/>
    <w:rsid w:val="00F456C6"/>
    <w:rsid w:val="00F4577B"/>
    <w:rsid w:val="00F46496"/>
    <w:rsid w:val="00F474D0"/>
    <w:rsid w:val="00F47677"/>
    <w:rsid w:val="00F50179"/>
    <w:rsid w:val="00F52BD5"/>
    <w:rsid w:val="00F53351"/>
    <w:rsid w:val="00F56511"/>
    <w:rsid w:val="00F60A30"/>
    <w:rsid w:val="00F6194E"/>
    <w:rsid w:val="00F623AC"/>
    <w:rsid w:val="00F62EB0"/>
    <w:rsid w:val="00F6412A"/>
    <w:rsid w:val="00F65893"/>
    <w:rsid w:val="00F66A4A"/>
    <w:rsid w:val="00F70E2A"/>
    <w:rsid w:val="00F71E22"/>
    <w:rsid w:val="00F72142"/>
    <w:rsid w:val="00F72AE7"/>
    <w:rsid w:val="00F75302"/>
    <w:rsid w:val="00F76BBA"/>
    <w:rsid w:val="00F77D98"/>
    <w:rsid w:val="00F8308A"/>
    <w:rsid w:val="00F833BA"/>
    <w:rsid w:val="00F849DC"/>
    <w:rsid w:val="00F84FD0"/>
    <w:rsid w:val="00F859A8"/>
    <w:rsid w:val="00F9108B"/>
    <w:rsid w:val="00F91349"/>
    <w:rsid w:val="00F93A8A"/>
    <w:rsid w:val="00F943EB"/>
    <w:rsid w:val="00F95248"/>
    <w:rsid w:val="00F956A9"/>
    <w:rsid w:val="00F963ED"/>
    <w:rsid w:val="00F966CF"/>
    <w:rsid w:val="00F96CAE"/>
    <w:rsid w:val="00F97952"/>
    <w:rsid w:val="00F97C99"/>
    <w:rsid w:val="00FA0B8D"/>
    <w:rsid w:val="00FA258C"/>
    <w:rsid w:val="00FA634C"/>
    <w:rsid w:val="00FA662D"/>
    <w:rsid w:val="00FA6730"/>
    <w:rsid w:val="00FA73B1"/>
    <w:rsid w:val="00FB01D7"/>
    <w:rsid w:val="00FB0481"/>
    <w:rsid w:val="00FB0CB9"/>
    <w:rsid w:val="00FB45F1"/>
    <w:rsid w:val="00FB4A72"/>
    <w:rsid w:val="00FB54E8"/>
    <w:rsid w:val="00FB7054"/>
    <w:rsid w:val="00FB7B2D"/>
    <w:rsid w:val="00FC17B7"/>
    <w:rsid w:val="00FC28DB"/>
    <w:rsid w:val="00FC2CB7"/>
    <w:rsid w:val="00FC4090"/>
    <w:rsid w:val="00FC55B4"/>
    <w:rsid w:val="00FC5F18"/>
    <w:rsid w:val="00FD00E6"/>
    <w:rsid w:val="00FD09A1"/>
    <w:rsid w:val="00FD2A7C"/>
    <w:rsid w:val="00FD3CF2"/>
    <w:rsid w:val="00FD59EB"/>
    <w:rsid w:val="00FD7299"/>
    <w:rsid w:val="00FD77EB"/>
    <w:rsid w:val="00FE0B77"/>
    <w:rsid w:val="00FE1FBE"/>
    <w:rsid w:val="00FE3901"/>
    <w:rsid w:val="00FE39D3"/>
    <w:rsid w:val="00FE3F65"/>
    <w:rsid w:val="00FE4BCE"/>
    <w:rsid w:val="00FE54AE"/>
    <w:rsid w:val="00FE576A"/>
    <w:rsid w:val="00FE7E79"/>
    <w:rsid w:val="00FF0C4D"/>
    <w:rsid w:val="00FF3E7D"/>
    <w:rsid w:val="00FF5B99"/>
    <w:rsid w:val="00FF730C"/>
    <w:rsid w:val="00FF73F4"/>
    <w:rsid w:val="00FF7B44"/>
    <w:rsid w:val="00FF7CE4"/>
    <w:rsid w:val="00FF7E39"/>
    <w:rsid w:val="01145951"/>
    <w:rsid w:val="013256EF"/>
    <w:rsid w:val="01766DC4"/>
    <w:rsid w:val="01C04E49"/>
    <w:rsid w:val="02385AB4"/>
    <w:rsid w:val="0296393A"/>
    <w:rsid w:val="029A175B"/>
    <w:rsid w:val="02BD14AF"/>
    <w:rsid w:val="036E7F24"/>
    <w:rsid w:val="0387065D"/>
    <w:rsid w:val="049F3CA4"/>
    <w:rsid w:val="04A21968"/>
    <w:rsid w:val="04B24EC3"/>
    <w:rsid w:val="04FA1127"/>
    <w:rsid w:val="054611B8"/>
    <w:rsid w:val="059E5E0E"/>
    <w:rsid w:val="05B0738B"/>
    <w:rsid w:val="05C40D89"/>
    <w:rsid w:val="06316639"/>
    <w:rsid w:val="06C21896"/>
    <w:rsid w:val="06FF7F8B"/>
    <w:rsid w:val="07CD3533"/>
    <w:rsid w:val="083A3F02"/>
    <w:rsid w:val="084D4AA8"/>
    <w:rsid w:val="08CD39FE"/>
    <w:rsid w:val="09CD6E24"/>
    <w:rsid w:val="09D851B5"/>
    <w:rsid w:val="0AF02C43"/>
    <w:rsid w:val="0C2E310B"/>
    <w:rsid w:val="0C5D14C4"/>
    <w:rsid w:val="0CBF1375"/>
    <w:rsid w:val="0D53546C"/>
    <w:rsid w:val="0DC61E9F"/>
    <w:rsid w:val="0E3B40E5"/>
    <w:rsid w:val="0F493A52"/>
    <w:rsid w:val="0F9B277A"/>
    <w:rsid w:val="10273C90"/>
    <w:rsid w:val="10A33D15"/>
    <w:rsid w:val="10ED22B8"/>
    <w:rsid w:val="115C7D16"/>
    <w:rsid w:val="116C0AA4"/>
    <w:rsid w:val="11D35ECA"/>
    <w:rsid w:val="127F50E9"/>
    <w:rsid w:val="12905384"/>
    <w:rsid w:val="1307103C"/>
    <w:rsid w:val="138138A7"/>
    <w:rsid w:val="14322531"/>
    <w:rsid w:val="150B4413"/>
    <w:rsid w:val="1560191E"/>
    <w:rsid w:val="15794A47"/>
    <w:rsid w:val="162933CF"/>
    <w:rsid w:val="1696521E"/>
    <w:rsid w:val="17C52D61"/>
    <w:rsid w:val="18E018E0"/>
    <w:rsid w:val="18EE36D6"/>
    <w:rsid w:val="1923584D"/>
    <w:rsid w:val="19CC34FF"/>
    <w:rsid w:val="19DE7B4F"/>
    <w:rsid w:val="1A302507"/>
    <w:rsid w:val="1A6B5E61"/>
    <w:rsid w:val="1A997AEC"/>
    <w:rsid w:val="1AF844CE"/>
    <w:rsid w:val="1B5D1C74"/>
    <w:rsid w:val="1BB36E00"/>
    <w:rsid w:val="1C111AAA"/>
    <w:rsid w:val="1C807755"/>
    <w:rsid w:val="1D194148"/>
    <w:rsid w:val="1D4D1E44"/>
    <w:rsid w:val="1D5368AC"/>
    <w:rsid w:val="1D860985"/>
    <w:rsid w:val="1DAA5454"/>
    <w:rsid w:val="1DCE2972"/>
    <w:rsid w:val="1F49071C"/>
    <w:rsid w:val="1FC11EA9"/>
    <w:rsid w:val="1FD7094C"/>
    <w:rsid w:val="202545A7"/>
    <w:rsid w:val="204D434C"/>
    <w:rsid w:val="205523AF"/>
    <w:rsid w:val="206A26F8"/>
    <w:rsid w:val="208D02F8"/>
    <w:rsid w:val="20F60C21"/>
    <w:rsid w:val="216379B0"/>
    <w:rsid w:val="230E24BC"/>
    <w:rsid w:val="23775F59"/>
    <w:rsid w:val="23A5630C"/>
    <w:rsid w:val="23A9148E"/>
    <w:rsid w:val="23ED7DD2"/>
    <w:rsid w:val="24037DEE"/>
    <w:rsid w:val="24671C08"/>
    <w:rsid w:val="24CA3E6C"/>
    <w:rsid w:val="24DB0907"/>
    <w:rsid w:val="250A5BD3"/>
    <w:rsid w:val="25AF1BE4"/>
    <w:rsid w:val="28B92995"/>
    <w:rsid w:val="28E65763"/>
    <w:rsid w:val="29D64CE4"/>
    <w:rsid w:val="29E1737E"/>
    <w:rsid w:val="2A1E177D"/>
    <w:rsid w:val="2A83594F"/>
    <w:rsid w:val="2A863051"/>
    <w:rsid w:val="2B9F7411"/>
    <w:rsid w:val="2BCE0153"/>
    <w:rsid w:val="2C0D7CE5"/>
    <w:rsid w:val="2C832E96"/>
    <w:rsid w:val="2CA83FD0"/>
    <w:rsid w:val="2CCC62C3"/>
    <w:rsid w:val="2CD810FA"/>
    <w:rsid w:val="2CDE7D2D"/>
    <w:rsid w:val="2D64008F"/>
    <w:rsid w:val="2D9A7507"/>
    <w:rsid w:val="2E0C2CE1"/>
    <w:rsid w:val="2E89643F"/>
    <w:rsid w:val="2E8C546A"/>
    <w:rsid w:val="2E9B3506"/>
    <w:rsid w:val="2FD23583"/>
    <w:rsid w:val="2FFC478A"/>
    <w:rsid w:val="301A6893"/>
    <w:rsid w:val="305F1EED"/>
    <w:rsid w:val="310A0D01"/>
    <w:rsid w:val="31B3151A"/>
    <w:rsid w:val="31B32F9C"/>
    <w:rsid w:val="32786CD9"/>
    <w:rsid w:val="336E5F6C"/>
    <w:rsid w:val="33D25C91"/>
    <w:rsid w:val="345F172C"/>
    <w:rsid w:val="3474109D"/>
    <w:rsid w:val="34C346A0"/>
    <w:rsid w:val="34DB7A71"/>
    <w:rsid w:val="35A3178F"/>
    <w:rsid w:val="35E120F0"/>
    <w:rsid w:val="3604504D"/>
    <w:rsid w:val="36C91572"/>
    <w:rsid w:val="374765BD"/>
    <w:rsid w:val="376848A5"/>
    <w:rsid w:val="37AE2AE9"/>
    <w:rsid w:val="382A7EB4"/>
    <w:rsid w:val="3869321C"/>
    <w:rsid w:val="387130ED"/>
    <w:rsid w:val="38BF2926"/>
    <w:rsid w:val="38EF19D8"/>
    <w:rsid w:val="391A77BD"/>
    <w:rsid w:val="397F4EA0"/>
    <w:rsid w:val="399E4029"/>
    <w:rsid w:val="3A564335"/>
    <w:rsid w:val="3A894FCC"/>
    <w:rsid w:val="3B973ABD"/>
    <w:rsid w:val="3D390786"/>
    <w:rsid w:val="3D88563F"/>
    <w:rsid w:val="3DA86637"/>
    <w:rsid w:val="3F5462F2"/>
    <w:rsid w:val="40111F29"/>
    <w:rsid w:val="40913B9A"/>
    <w:rsid w:val="41436CCB"/>
    <w:rsid w:val="415A0FC6"/>
    <w:rsid w:val="419B7C0C"/>
    <w:rsid w:val="42101FF2"/>
    <w:rsid w:val="42717C0C"/>
    <w:rsid w:val="42BD668F"/>
    <w:rsid w:val="42DE3341"/>
    <w:rsid w:val="42EE0B0F"/>
    <w:rsid w:val="432523C6"/>
    <w:rsid w:val="43377D70"/>
    <w:rsid w:val="435A73CD"/>
    <w:rsid w:val="43BB74AB"/>
    <w:rsid w:val="446F6056"/>
    <w:rsid w:val="449F0DA3"/>
    <w:rsid w:val="44AE4BE6"/>
    <w:rsid w:val="45136374"/>
    <w:rsid w:val="45FF7A66"/>
    <w:rsid w:val="4637604B"/>
    <w:rsid w:val="46F55BE4"/>
    <w:rsid w:val="472707CD"/>
    <w:rsid w:val="48835206"/>
    <w:rsid w:val="48A52948"/>
    <w:rsid w:val="490546A7"/>
    <w:rsid w:val="49420715"/>
    <w:rsid w:val="49C901FF"/>
    <w:rsid w:val="4ABD162D"/>
    <w:rsid w:val="4B917087"/>
    <w:rsid w:val="4B9E419F"/>
    <w:rsid w:val="4BE23454"/>
    <w:rsid w:val="4D1F0E18"/>
    <w:rsid w:val="4D495436"/>
    <w:rsid w:val="4D5D2E7B"/>
    <w:rsid w:val="4D861AC1"/>
    <w:rsid w:val="4DA14869"/>
    <w:rsid w:val="4DF9654B"/>
    <w:rsid w:val="4E312DA9"/>
    <w:rsid w:val="505700E0"/>
    <w:rsid w:val="5070590A"/>
    <w:rsid w:val="50E4360C"/>
    <w:rsid w:val="516A1CA8"/>
    <w:rsid w:val="517045AA"/>
    <w:rsid w:val="51B64A7C"/>
    <w:rsid w:val="51CD5888"/>
    <w:rsid w:val="51D77CAA"/>
    <w:rsid w:val="524E3F98"/>
    <w:rsid w:val="527D1264"/>
    <w:rsid w:val="53434C1E"/>
    <w:rsid w:val="53A51D20"/>
    <w:rsid w:val="53D90188"/>
    <w:rsid w:val="53ED01C1"/>
    <w:rsid w:val="54604C7D"/>
    <w:rsid w:val="549E3B11"/>
    <w:rsid w:val="54A51975"/>
    <w:rsid w:val="54C93027"/>
    <w:rsid w:val="555F1F59"/>
    <w:rsid w:val="55726A2C"/>
    <w:rsid w:val="55F765A6"/>
    <w:rsid w:val="55F93719"/>
    <w:rsid w:val="56367DBC"/>
    <w:rsid w:val="56727B5F"/>
    <w:rsid w:val="567E13F4"/>
    <w:rsid w:val="567E247E"/>
    <w:rsid w:val="56C63E25"/>
    <w:rsid w:val="56D01D2A"/>
    <w:rsid w:val="57185663"/>
    <w:rsid w:val="57BF4E4B"/>
    <w:rsid w:val="58BF0A29"/>
    <w:rsid w:val="58CE3242"/>
    <w:rsid w:val="58DB7610"/>
    <w:rsid w:val="58F011F8"/>
    <w:rsid w:val="59277154"/>
    <w:rsid w:val="59481887"/>
    <w:rsid w:val="596509A3"/>
    <w:rsid w:val="596B19AF"/>
    <w:rsid w:val="59D86F77"/>
    <w:rsid w:val="5A243419"/>
    <w:rsid w:val="5A5233BE"/>
    <w:rsid w:val="5A74679B"/>
    <w:rsid w:val="5B251198"/>
    <w:rsid w:val="5B7C0774"/>
    <w:rsid w:val="5BC82AE5"/>
    <w:rsid w:val="5C751DBE"/>
    <w:rsid w:val="5D2A05E8"/>
    <w:rsid w:val="5D6547EE"/>
    <w:rsid w:val="5DF70C36"/>
    <w:rsid w:val="5E893A28"/>
    <w:rsid w:val="5F267129"/>
    <w:rsid w:val="5F342CE9"/>
    <w:rsid w:val="5F6C63B7"/>
    <w:rsid w:val="5FA9607E"/>
    <w:rsid w:val="60BA4FC1"/>
    <w:rsid w:val="60EE0418"/>
    <w:rsid w:val="62007857"/>
    <w:rsid w:val="62E666B7"/>
    <w:rsid w:val="638379D3"/>
    <w:rsid w:val="64490695"/>
    <w:rsid w:val="64A44C0D"/>
    <w:rsid w:val="652D418B"/>
    <w:rsid w:val="65954E34"/>
    <w:rsid w:val="65ED35A6"/>
    <w:rsid w:val="65F12FD0"/>
    <w:rsid w:val="662A07CC"/>
    <w:rsid w:val="66486604"/>
    <w:rsid w:val="665C5A90"/>
    <w:rsid w:val="669B6734"/>
    <w:rsid w:val="66BC3D77"/>
    <w:rsid w:val="672F2C72"/>
    <w:rsid w:val="684756A2"/>
    <w:rsid w:val="686A10DA"/>
    <w:rsid w:val="68703134"/>
    <w:rsid w:val="698E59B9"/>
    <w:rsid w:val="6A2E78BF"/>
    <w:rsid w:val="6A9974BE"/>
    <w:rsid w:val="6ACD093F"/>
    <w:rsid w:val="6ACE6346"/>
    <w:rsid w:val="6AE7201A"/>
    <w:rsid w:val="6C2B0121"/>
    <w:rsid w:val="6CAC115A"/>
    <w:rsid w:val="6CC31EB6"/>
    <w:rsid w:val="6D056FFD"/>
    <w:rsid w:val="6D2A0BA3"/>
    <w:rsid w:val="6E0E0C26"/>
    <w:rsid w:val="6EB65C56"/>
    <w:rsid w:val="6F3D238D"/>
    <w:rsid w:val="6FC76516"/>
    <w:rsid w:val="707C7008"/>
    <w:rsid w:val="70C7332D"/>
    <w:rsid w:val="7179553A"/>
    <w:rsid w:val="7224660F"/>
    <w:rsid w:val="7252521E"/>
    <w:rsid w:val="726505BA"/>
    <w:rsid w:val="72E16A24"/>
    <w:rsid w:val="73121DD9"/>
    <w:rsid w:val="73357A0F"/>
    <w:rsid w:val="739D577E"/>
    <w:rsid w:val="73E0372B"/>
    <w:rsid w:val="73EC4FBF"/>
    <w:rsid w:val="74147608"/>
    <w:rsid w:val="75096690"/>
    <w:rsid w:val="75841619"/>
    <w:rsid w:val="76115F55"/>
    <w:rsid w:val="76E73F85"/>
    <w:rsid w:val="78CA163A"/>
    <w:rsid w:val="7A2D6D03"/>
    <w:rsid w:val="7A3E6F9D"/>
    <w:rsid w:val="7AF00FBF"/>
    <w:rsid w:val="7B037152"/>
    <w:rsid w:val="7B251AD5"/>
    <w:rsid w:val="7B2E2D5F"/>
    <w:rsid w:val="7B5C60F0"/>
    <w:rsid w:val="7BD76009"/>
    <w:rsid w:val="7D77556B"/>
    <w:rsid w:val="7DA75CB5"/>
    <w:rsid w:val="7DE11312"/>
    <w:rsid w:val="7E3314F0"/>
    <w:rsid w:val="7E4C610E"/>
    <w:rsid w:val="7F2C666B"/>
    <w:rsid w:val="7FA66E53"/>
    <w:rsid w:val="7FE86B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4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2"/>
    <w:qFormat/>
    <w:uiPriority w:val="0"/>
    <w:pPr>
      <w:keepNext/>
      <w:keepLines/>
      <w:spacing w:before="260" w:after="260" w:line="416" w:lineRule="auto"/>
      <w:outlineLvl w:val="2"/>
    </w:pPr>
    <w:rPr>
      <w:b/>
      <w:bCs/>
      <w:sz w:val="32"/>
      <w:szCs w:val="32"/>
    </w:rPr>
  </w:style>
  <w:style w:type="paragraph" w:styleId="5">
    <w:name w:val="heading 4"/>
    <w:basedOn w:val="1"/>
    <w:next w:val="1"/>
    <w:link w:val="4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4"/>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5"/>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6"/>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7"/>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8"/>
    <w:qFormat/>
    <w:uiPriority w:val="0"/>
    <w:pPr>
      <w:keepNext/>
      <w:keepLines/>
      <w:adjustRightInd/>
      <w:spacing w:before="240" w:after="64" w:line="320" w:lineRule="auto"/>
      <w:outlineLvl w:val="8"/>
    </w:pPr>
    <w:rPr>
      <w:rFonts w:ascii="Arial" w:hAnsi="Arial" w:eastAsia="黑体"/>
    </w:rPr>
  </w:style>
  <w:style w:type="character" w:default="1" w:styleId="33">
    <w:name w:val="Default Paragraph Font"/>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link w:val="238"/>
    <w:qFormat/>
    <w:uiPriority w:val="0"/>
    <w:pPr>
      <w:adjustRightInd/>
      <w:spacing w:line="240" w:lineRule="auto"/>
      <w:jc w:val="left"/>
    </w:pPr>
    <w:rPr>
      <w:szCs w:val="24"/>
    </w:rPr>
  </w:style>
  <w:style w:type="paragraph" w:styleId="14">
    <w:name w:val="Body Text"/>
    <w:basedOn w:val="1"/>
    <w:link w:val="92"/>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51"/>
    <w:unhideWhenUsed/>
    <w:qFormat/>
    <w:uiPriority w:val="0"/>
    <w:rPr>
      <w:sz w:val="18"/>
      <w:szCs w:val="18"/>
    </w:rPr>
  </w:style>
  <w:style w:type="paragraph" w:styleId="18">
    <w:name w:val="footer"/>
    <w:basedOn w:val="1"/>
    <w:link w:val="50"/>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9"/>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pPr>
      <w:tabs>
        <w:tab w:val="right" w:leader="dot" w:pos="9344"/>
      </w:tabs>
    </w:pPr>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5"/>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Body Text 2"/>
    <w:basedOn w:val="1"/>
    <w:qFormat/>
    <w:uiPriority w:val="0"/>
    <w:pPr>
      <w:spacing w:after="120" w:line="480" w:lineRule="auto"/>
      <w:ind w:firstLine="482"/>
    </w:pPr>
  </w:style>
  <w:style w:type="paragraph" w:styleId="27">
    <w:name w:val="HTML Preformatted"/>
    <w:basedOn w:val="1"/>
    <w:link w:val="24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pPr>
    <w:rPr>
      <w:rFonts w:ascii="宋体" w:hAnsi="宋体" w:cs="宋体"/>
      <w:kern w:val="0"/>
      <w:sz w:val="24"/>
      <w:szCs w:val="24"/>
    </w:rPr>
  </w:style>
  <w:style w:type="paragraph" w:styleId="28">
    <w:name w:val="Normal (Web)"/>
    <w:basedOn w:val="1"/>
    <w:semiHidden/>
    <w:unhideWhenUsed/>
    <w:qFormat/>
    <w:uiPriority w:val="99"/>
    <w:rPr>
      <w:sz w:val="24"/>
    </w:rPr>
  </w:style>
  <w:style w:type="paragraph" w:styleId="29">
    <w:name w:val="Title"/>
    <w:basedOn w:val="1"/>
    <w:link w:val="54"/>
    <w:qFormat/>
    <w:uiPriority w:val="0"/>
    <w:pPr>
      <w:spacing w:before="240" w:after="60"/>
      <w:jc w:val="center"/>
      <w:outlineLvl w:val="0"/>
    </w:pPr>
    <w:rPr>
      <w:rFonts w:ascii="Arial" w:hAnsi="Arial" w:cs="Arial"/>
      <w:b/>
      <w:bCs/>
      <w:sz w:val="32"/>
      <w:szCs w:val="32"/>
    </w:rPr>
  </w:style>
  <w:style w:type="paragraph" w:styleId="30">
    <w:name w:val="annotation subject"/>
    <w:basedOn w:val="13"/>
    <w:next w:val="13"/>
    <w:link w:val="254"/>
    <w:semiHidden/>
    <w:unhideWhenUsed/>
    <w:qFormat/>
    <w:uiPriority w:val="99"/>
    <w:pPr>
      <w:adjustRightInd w:val="0"/>
      <w:spacing w:line="400" w:lineRule="exact"/>
    </w:pPr>
    <w:rPr>
      <w:b/>
      <w:bCs/>
      <w:szCs w:val="21"/>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22"/>
    <w:rPr>
      <w:b/>
      <w:bCs/>
    </w:rPr>
  </w:style>
  <w:style w:type="character" w:styleId="35">
    <w:name w:val="page number"/>
    <w:qFormat/>
    <w:uiPriority w:val="0"/>
    <w:rPr>
      <w:rFonts w:ascii="宋体" w:hAnsi="Times New Roman" w:eastAsia="宋体"/>
      <w:sz w:val="18"/>
    </w:rPr>
  </w:style>
  <w:style w:type="character" w:styleId="36">
    <w:name w:val="Emphasis"/>
    <w:qFormat/>
    <w:uiPriority w:val="20"/>
    <w:rPr>
      <w:i/>
      <w:iCs/>
    </w:rPr>
  </w:style>
  <w:style w:type="character" w:styleId="37">
    <w:name w:val="Hyperlink"/>
    <w:qFormat/>
    <w:uiPriority w:val="99"/>
    <w:rPr>
      <w:rFonts w:ascii="宋体" w:hAnsi="Times New Roman" w:eastAsia="宋体"/>
      <w:color w:val="auto"/>
      <w:spacing w:val="0"/>
      <w:w w:val="100"/>
      <w:position w:val="0"/>
      <w:sz w:val="21"/>
      <w:u w:val="none"/>
      <w:vertAlign w:val="baseline"/>
    </w:rPr>
  </w:style>
  <w:style w:type="character" w:styleId="38">
    <w:name w:val="annotation reference"/>
    <w:qFormat/>
    <w:uiPriority w:val="0"/>
    <w:rPr>
      <w:sz w:val="21"/>
      <w:szCs w:val="21"/>
    </w:rPr>
  </w:style>
  <w:style w:type="character" w:styleId="39">
    <w:name w:val="footnote reference"/>
    <w:semiHidden/>
    <w:qFormat/>
    <w:uiPriority w:val="0"/>
    <w:rPr>
      <w:rFonts w:ascii="宋体" w:hAnsi="宋体" w:eastAsia="宋体" w:cs="Times New Roman"/>
      <w:spacing w:val="0"/>
      <w:sz w:val="18"/>
      <w:vertAlign w:val="superscript"/>
    </w:rPr>
  </w:style>
  <w:style w:type="character" w:customStyle="1" w:styleId="40">
    <w:name w:val="标题 1 字符"/>
    <w:link w:val="2"/>
    <w:qFormat/>
    <w:uiPriority w:val="0"/>
    <w:rPr>
      <w:rFonts w:ascii="Times New Roman" w:hAnsi="Times New Roman" w:eastAsia="宋体" w:cs="Times New Roman"/>
      <w:b/>
      <w:bCs/>
      <w:kern w:val="44"/>
      <w:sz w:val="44"/>
      <w:szCs w:val="44"/>
    </w:rPr>
  </w:style>
  <w:style w:type="character" w:customStyle="1" w:styleId="41">
    <w:name w:val="标题 2 字符"/>
    <w:link w:val="3"/>
    <w:qFormat/>
    <w:uiPriority w:val="0"/>
    <w:rPr>
      <w:rFonts w:ascii="Arial" w:hAnsi="Arial" w:eastAsia="黑体" w:cs="Times New Roman"/>
      <w:b/>
      <w:bCs/>
      <w:sz w:val="32"/>
      <w:szCs w:val="32"/>
    </w:rPr>
  </w:style>
  <w:style w:type="character" w:customStyle="1" w:styleId="42">
    <w:name w:val="标题 3 字符"/>
    <w:link w:val="4"/>
    <w:qFormat/>
    <w:uiPriority w:val="0"/>
    <w:rPr>
      <w:rFonts w:ascii="Times New Roman" w:hAnsi="Times New Roman" w:eastAsia="宋体" w:cs="Times New Roman"/>
      <w:b/>
      <w:bCs/>
      <w:sz w:val="32"/>
      <w:szCs w:val="32"/>
    </w:rPr>
  </w:style>
  <w:style w:type="character" w:customStyle="1" w:styleId="43">
    <w:name w:val="标题 4 字符"/>
    <w:link w:val="5"/>
    <w:qFormat/>
    <w:uiPriority w:val="0"/>
    <w:rPr>
      <w:rFonts w:ascii="Arial" w:hAnsi="Arial" w:eastAsia="黑体" w:cs="Times New Roman"/>
      <w:b/>
      <w:bCs/>
      <w:sz w:val="28"/>
      <w:szCs w:val="28"/>
    </w:rPr>
  </w:style>
  <w:style w:type="character" w:customStyle="1" w:styleId="44">
    <w:name w:val="标题 5 字符"/>
    <w:link w:val="6"/>
    <w:qFormat/>
    <w:uiPriority w:val="0"/>
    <w:rPr>
      <w:rFonts w:ascii="Times New Roman" w:hAnsi="Times New Roman" w:eastAsia="宋体" w:cs="Times New Roman"/>
      <w:b/>
      <w:bCs/>
      <w:sz w:val="28"/>
      <w:szCs w:val="28"/>
    </w:rPr>
  </w:style>
  <w:style w:type="character" w:customStyle="1" w:styleId="45">
    <w:name w:val="标题 6 字符"/>
    <w:link w:val="7"/>
    <w:qFormat/>
    <w:uiPriority w:val="0"/>
    <w:rPr>
      <w:rFonts w:ascii="Arial" w:hAnsi="Arial" w:eastAsia="黑体" w:cs="Times New Roman"/>
      <w:b/>
      <w:bCs/>
      <w:sz w:val="24"/>
      <w:szCs w:val="24"/>
    </w:rPr>
  </w:style>
  <w:style w:type="character" w:customStyle="1" w:styleId="46">
    <w:name w:val="标题 7 字符"/>
    <w:link w:val="8"/>
    <w:qFormat/>
    <w:uiPriority w:val="0"/>
    <w:rPr>
      <w:rFonts w:ascii="Times New Roman" w:hAnsi="Times New Roman" w:eastAsia="宋体" w:cs="Times New Roman"/>
      <w:b/>
      <w:bCs/>
      <w:sz w:val="24"/>
      <w:szCs w:val="24"/>
    </w:rPr>
  </w:style>
  <w:style w:type="character" w:customStyle="1" w:styleId="47">
    <w:name w:val="标题 8 字符"/>
    <w:link w:val="9"/>
    <w:qFormat/>
    <w:uiPriority w:val="0"/>
    <w:rPr>
      <w:rFonts w:ascii="Arial" w:hAnsi="Arial" w:eastAsia="黑体" w:cs="Times New Roman"/>
      <w:sz w:val="24"/>
      <w:szCs w:val="24"/>
    </w:rPr>
  </w:style>
  <w:style w:type="character" w:customStyle="1" w:styleId="48">
    <w:name w:val="标题 9 字符"/>
    <w:link w:val="10"/>
    <w:qFormat/>
    <w:uiPriority w:val="0"/>
    <w:rPr>
      <w:rFonts w:ascii="Arial" w:hAnsi="Arial" w:eastAsia="黑体" w:cs="Times New Roman"/>
      <w:szCs w:val="21"/>
    </w:rPr>
  </w:style>
  <w:style w:type="character" w:customStyle="1" w:styleId="49">
    <w:name w:val="页眉 字符"/>
    <w:link w:val="19"/>
    <w:qFormat/>
    <w:uiPriority w:val="99"/>
    <w:rPr>
      <w:rFonts w:ascii="Times New Roman" w:hAnsi="Times New Roman" w:eastAsia="宋体" w:cs="Times New Roman"/>
      <w:sz w:val="18"/>
      <w:szCs w:val="18"/>
    </w:rPr>
  </w:style>
  <w:style w:type="character" w:customStyle="1" w:styleId="50">
    <w:name w:val="页脚 字符"/>
    <w:link w:val="18"/>
    <w:qFormat/>
    <w:uiPriority w:val="99"/>
    <w:rPr>
      <w:rFonts w:ascii="宋体" w:hAnsi="Times New Roman" w:eastAsia="宋体" w:cs="Times New Roman"/>
      <w:sz w:val="18"/>
      <w:szCs w:val="18"/>
    </w:rPr>
  </w:style>
  <w:style w:type="character" w:customStyle="1" w:styleId="51">
    <w:name w:val="批注框文本 字符"/>
    <w:link w:val="17"/>
    <w:semiHidden/>
    <w:qFormat/>
    <w:uiPriority w:val="99"/>
    <w:rPr>
      <w:sz w:val="18"/>
      <w:szCs w:val="18"/>
    </w:rPr>
  </w:style>
  <w:style w:type="paragraph" w:styleId="52">
    <w:name w:val="Quote"/>
    <w:basedOn w:val="1"/>
    <w:next w:val="1"/>
    <w:link w:val="53"/>
    <w:qFormat/>
    <w:uiPriority w:val="29"/>
    <w:rPr>
      <w:i/>
      <w:iCs/>
      <w:color w:val="000000"/>
    </w:rPr>
  </w:style>
  <w:style w:type="character" w:customStyle="1" w:styleId="53">
    <w:name w:val="引用 字符"/>
    <w:link w:val="52"/>
    <w:qFormat/>
    <w:uiPriority w:val="29"/>
    <w:rPr>
      <w:i/>
      <w:iCs/>
      <w:color w:val="000000"/>
    </w:rPr>
  </w:style>
  <w:style w:type="character" w:customStyle="1" w:styleId="54">
    <w:name w:val="标题 字符"/>
    <w:link w:val="29"/>
    <w:qFormat/>
    <w:uiPriority w:val="0"/>
    <w:rPr>
      <w:rFonts w:ascii="Arial" w:hAnsi="Arial" w:eastAsia="宋体" w:cs="Arial"/>
      <w:b/>
      <w:bCs/>
      <w:sz w:val="32"/>
      <w:szCs w:val="32"/>
    </w:rPr>
  </w:style>
  <w:style w:type="paragraph" w:customStyle="1" w:styleId="55">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6">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7">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8">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9">
    <w:name w:val="标准书眉一"/>
    <w:qFormat/>
    <w:uiPriority w:val="0"/>
    <w:pPr>
      <w:jc w:val="both"/>
    </w:pPr>
    <w:rPr>
      <w:rFonts w:ascii="Times New Roman" w:hAnsi="Times New Roman" w:eastAsia="宋体" w:cs="Times New Roman"/>
      <w:lang w:val="en-US" w:eastAsia="zh-CN" w:bidi="ar-SA"/>
    </w:rPr>
  </w:style>
  <w:style w:type="paragraph" w:customStyle="1" w:styleId="60">
    <w:name w:val="标准文件_ICS"/>
    <w:basedOn w:val="1"/>
    <w:qFormat/>
    <w:uiPriority w:val="0"/>
    <w:pPr>
      <w:spacing w:line="0" w:lineRule="atLeast"/>
    </w:pPr>
    <w:rPr>
      <w:rFonts w:ascii="黑体" w:hAnsi="宋体" w:eastAsia="黑体"/>
    </w:rPr>
  </w:style>
  <w:style w:type="paragraph" w:customStyle="1" w:styleId="61">
    <w:name w:val="标准文件_标准正文"/>
    <w:basedOn w:val="1"/>
    <w:next w:val="62"/>
    <w:qFormat/>
    <w:uiPriority w:val="0"/>
    <w:pPr>
      <w:snapToGrid w:val="0"/>
      <w:ind w:firstLine="200" w:firstLineChars="200"/>
    </w:pPr>
    <w:rPr>
      <w:kern w:val="0"/>
    </w:rPr>
  </w:style>
  <w:style w:type="paragraph" w:customStyle="1" w:styleId="62">
    <w:name w:val="标准文件_段"/>
    <w:link w:val="190"/>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3">
    <w:name w:val="标准文件_版本"/>
    <w:basedOn w:val="61"/>
    <w:qFormat/>
    <w:uiPriority w:val="0"/>
    <w:pPr>
      <w:adjustRightInd/>
      <w:snapToGrid/>
      <w:ind w:firstLine="0" w:firstLineChars="0"/>
    </w:pPr>
    <w:rPr>
      <w:rFonts w:ascii="宋体" w:hAnsi="宋体"/>
      <w:kern w:val="2"/>
    </w:rPr>
  </w:style>
  <w:style w:type="paragraph" w:customStyle="1" w:styleId="64">
    <w:name w:val="标准文件_标准部门"/>
    <w:basedOn w:val="1"/>
    <w:qFormat/>
    <w:uiPriority w:val="0"/>
    <w:pPr>
      <w:jc w:val="center"/>
    </w:pPr>
    <w:rPr>
      <w:rFonts w:ascii="黑体" w:eastAsia="黑体"/>
      <w:kern w:val="0"/>
      <w:sz w:val="44"/>
    </w:rPr>
  </w:style>
  <w:style w:type="paragraph" w:customStyle="1" w:styleId="65">
    <w:name w:val="标准文件_标准代替"/>
    <w:basedOn w:val="1"/>
    <w:next w:val="1"/>
    <w:qFormat/>
    <w:uiPriority w:val="0"/>
    <w:pPr>
      <w:spacing w:line="310" w:lineRule="exact"/>
      <w:jc w:val="right"/>
    </w:pPr>
    <w:rPr>
      <w:rFonts w:ascii="宋体" w:hAnsi="宋体"/>
      <w:kern w:val="0"/>
    </w:rPr>
  </w:style>
  <w:style w:type="paragraph" w:customStyle="1" w:styleId="66">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7">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8">
    <w:name w:val="标准文件_页眉偶数页"/>
    <w:basedOn w:val="67"/>
    <w:next w:val="1"/>
    <w:qFormat/>
    <w:uiPriority w:val="0"/>
    <w:pPr>
      <w:jc w:val="left"/>
    </w:pPr>
  </w:style>
  <w:style w:type="paragraph" w:customStyle="1" w:styleId="69">
    <w:name w:val="标准文件_参考文献标题"/>
    <w:basedOn w:val="1"/>
    <w:next w:val="1"/>
    <w:qFormat/>
    <w:uiPriority w:val="0"/>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70">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71">
    <w:name w:val="标准文件_二级条标题"/>
    <w:next w:val="62"/>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72">
    <w:name w:val="标准文件_发布"/>
    <w:qFormat/>
    <w:uiPriority w:val="0"/>
    <w:rPr>
      <w:rFonts w:ascii="黑体" w:eastAsia="黑体"/>
      <w:spacing w:val="0"/>
      <w:w w:val="100"/>
      <w:position w:val="3"/>
      <w:sz w:val="28"/>
    </w:rPr>
  </w:style>
  <w:style w:type="paragraph" w:customStyle="1" w:styleId="73">
    <w:name w:val="标准文件_方框数字列项"/>
    <w:basedOn w:val="62"/>
    <w:qFormat/>
    <w:uiPriority w:val="0"/>
    <w:pPr>
      <w:numPr>
        <w:ilvl w:val="0"/>
        <w:numId w:val="3"/>
      </w:numPr>
      <w:ind w:firstLine="0" w:firstLineChars="0"/>
    </w:pPr>
  </w:style>
  <w:style w:type="paragraph" w:customStyle="1" w:styleId="74">
    <w:name w:val="标准文件_封面标准编号"/>
    <w:basedOn w:val="1"/>
    <w:next w:val="65"/>
    <w:qFormat/>
    <w:uiPriority w:val="0"/>
    <w:pPr>
      <w:spacing w:line="310" w:lineRule="exact"/>
      <w:jc w:val="right"/>
    </w:pPr>
    <w:rPr>
      <w:rFonts w:ascii="黑体" w:eastAsia="黑体"/>
      <w:kern w:val="0"/>
      <w:sz w:val="28"/>
    </w:rPr>
  </w:style>
  <w:style w:type="paragraph" w:customStyle="1" w:styleId="75">
    <w:name w:val="标准文件_封面标准分类号"/>
    <w:basedOn w:val="1"/>
    <w:qFormat/>
    <w:uiPriority w:val="0"/>
    <w:rPr>
      <w:rFonts w:ascii="黑体" w:eastAsia="黑体"/>
      <w:b/>
      <w:kern w:val="0"/>
      <w:sz w:val="28"/>
    </w:rPr>
  </w:style>
  <w:style w:type="paragraph" w:customStyle="1" w:styleId="76">
    <w:name w:val="标准文件_封面标准名称"/>
    <w:basedOn w:val="1"/>
    <w:qFormat/>
    <w:uiPriority w:val="0"/>
    <w:pPr>
      <w:spacing w:line="240" w:lineRule="auto"/>
      <w:jc w:val="center"/>
    </w:pPr>
    <w:rPr>
      <w:rFonts w:ascii="黑体" w:eastAsia="黑体"/>
      <w:kern w:val="0"/>
      <w:sz w:val="52"/>
    </w:rPr>
  </w:style>
  <w:style w:type="paragraph" w:customStyle="1" w:styleId="77">
    <w:name w:val="标准文件_封面标准英文名称"/>
    <w:basedOn w:val="1"/>
    <w:qFormat/>
    <w:uiPriority w:val="0"/>
    <w:pPr>
      <w:spacing w:line="240" w:lineRule="auto"/>
      <w:jc w:val="center"/>
    </w:pPr>
    <w:rPr>
      <w:rFonts w:ascii="黑体" w:eastAsia="黑体"/>
      <w:b/>
      <w:sz w:val="28"/>
    </w:rPr>
  </w:style>
  <w:style w:type="paragraph" w:customStyle="1" w:styleId="78">
    <w:name w:val="标准文件_封面发布日期"/>
    <w:basedOn w:val="1"/>
    <w:qFormat/>
    <w:uiPriority w:val="0"/>
    <w:pPr>
      <w:spacing w:line="310" w:lineRule="exact"/>
    </w:pPr>
    <w:rPr>
      <w:rFonts w:ascii="黑体" w:eastAsia="黑体"/>
      <w:kern w:val="0"/>
      <w:sz w:val="28"/>
    </w:rPr>
  </w:style>
  <w:style w:type="paragraph" w:customStyle="1" w:styleId="79">
    <w:name w:val="标准文件_封面密级"/>
    <w:basedOn w:val="1"/>
    <w:qFormat/>
    <w:uiPriority w:val="0"/>
    <w:rPr>
      <w:rFonts w:eastAsia="黑体"/>
      <w:sz w:val="32"/>
    </w:rPr>
  </w:style>
  <w:style w:type="paragraph" w:customStyle="1" w:styleId="80">
    <w:name w:val="标准文件_封面实施日期"/>
    <w:basedOn w:val="1"/>
    <w:qFormat/>
    <w:uiPriority w:val="0"/>
    <w:pPr>
      <w:spacing w:line="310" w:lineRule="exact"/>
      <w:jc w:val="right"/>
    </w:pPr>
    <w:rPr>
      <w:rFonts w:ascii="黑体" w:eastAsia="黑体"/>
      <w:sz w:val="28"/>
    </w:rPr>
  </w:style>
  <w:style w:type="paragraph" w:customStyle="1" w:styleId="81">
    <w:name w:val="标准文件_封面抬头"/>
    <w:basedOn w:val="62"/>
    <w:qFormat/>
    <w:uiPriority w:val="0"/>
    <w:pPr>
      <w:adjustRightInd w:val="0"/>
      <w:spacing w:line="800" w:lineRule="exact"/>
      <w:ind w:firstLine="0" w:firstLineChars="0"/>
      <w:jc w:val="distribute"/>
    </w:pPr>
    <w:rPr>
      <w:rFonts w:ascii="黑体" w:eastAsia="黑体"/>
      <w:b/>
      <w:sz w:val="64"/>
    </w:rPr>
  </w:style>
  <w:style w:type="paragraph" w:customStyle="1" w:styleId="82">
    <w:name w:val="标准文件_附录标识"/>
    <w:next w:val="62"/>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83">
    <w:name w:val="标准文件_附录表标题"/>
    <w:next w:val="62"/>
    <w:qFormat/>
    <w:uiPriority w:val="0"/>
    <w:pPr>
      <w:numPr>
        <w:ilvl w:val="1"/>
        <w:numId w:val="5"/>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4">
    <w:name w:val="标准文件_附录一级条标题"/>
    <w:next w:val="62"/>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5">
    <w:name w:val="标准文件_附录二级条标题"/>
    <w:basedOn w:val="84"/>
    <w:next w:val="62"/>
    <w:qFormat/>
    <w:uiPriority w:val="0"/>
    <w:pPr>
      <w:widowControl/>
      <w:numPr>
        <w:ilvl w:val="2"/>
      </w:numPr>
      <w:wordWrap w:val="0"/>
      <w:overflowPunct w:val="0"/>
      <w:autoSpaceDE w:val="0"/>
      <w:autoSpaceDN w:val="0"/>
      <w:textAlignment w:val="baseline"/>
      <w:outlineLvl w:val="3"/>
    </w:pPr>
  </w:style>
  <w:style w:type="paragraph" w:customStyle="1" w:styleId="86">
    <w:name w:val="标准文件_附录公式"/>
    <w:basedOn w:val="61"/>
    <w:next w:val="61"/>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7">
    <w:name w:val="标准文件_附录三级条标题"/>
    <w:next w:val="62"/>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8">
    <w:name w:val="标准文件_附录四级条标题"/>
    <w:next w:val="62"/>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9">
    <w:name w:val="标准文件_附录图标题"/>
    <w:next w:val="62"/>
    <w:qFormat/>
    <w:uiPriority w:val="0"/>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90">
    <w:name w:val="标准文件_附录五级条标题"/>
    <w:next w:val="62"/>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91">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92">
    <w:name w:val="正文文本 字符"/>
    <w:link w:val="14"/>
    <w:qFormat/>
    <w:uiPriority w:val="0"/>
    <w:rPr>
      <w:rFonts w:ascii="Times New Roman" w:hAnsi="Times New Roman" w:eastAsia="宋体" w:cs="Times New Roman"/>
      <w:szCs w:val="20"/>
    </w:rPr>
  </w:style>
  <w:style w:type="paragraph" w:customStyle="1" w:styleId="93">
    <w:name w:val="标准文件_附录章标题"/>
    <w:next w:val="62"/>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4">
    <w:name w:val="标准文件_公式后的破折号"/>
    <w:basedOn w:val="62"/>
    <w:next w:val="62"/>
    <w:qFormat/>
    <w:uiPriority w:val="0"/>
    <w:pPr>
      <w:ind w:left="488" w:leftChars="200" w:hanging="289" w:hangingChars="290"/>
    </w:pPr>
  </w:style>
  <w:style w:type="paragraph" w:customStyle="1" w:styleId="95">
    <w:name w:val="标准文件_前言、引言标题"/>
    <w:next w:val="1"/>
    <w:qFormat/>
    <w:uiPriority w:val="0"/>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96">
    <w:name w:val="标准文件_目次、标准名称标题"/>
    <w:basedOn w:val="95"/>
    <w:next w:val="62"/>
    <w:qFormat/>
    <w:uiPriority w:val="0"/>
    <w:pPr>
      <w:spacing w:line="460" w:lineRule="exact"/>
    </w:pPr>
  </w:style>
  <w:style w:type="paragraph" w:customStyle="1" w:styleId="97">
    <w:name w:val="标准文件_目录标题"/>
    <w:basedOn w:val="1"/>
    <w:qFormat/>
    <w:uiPriority w:val="0"/>
    <w:pPr>
      <w:spacing w:afterLines="150" w:line="240" w:lineRule="auto"/>
      <w:jc w:val="center"/>
    </w:pPr>
    <w:rPr>
      <w:rFonts w:ascii="黑体" w:eastAsia="黑体"/>
      <w:sz w:val="32"/>
    </w:rPr>
  </w:style>
  <w:style w:type="paragraph" w:customStyle="1" w:styleId="98">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9">
    <w:name w:val="标准文件_破折号列项（二级）"/>
    <w:basedOn w:val="98"/>
    <w:qFormat/>
    <w:uiPriority w:val="0"/>
    <w:pPr>
      <w:numPr>
        <w:numId w:val="10"/>
      </w:numPr>
      <w:ind w:left="0" w:firstLine="200"/>
    </w:pPr>
  </w:style>
  <w:style w:type="paragraph" w:customStyle="1" w:styleId="100">
    <w:name w:val="标准文件_三级条标题"/>
    <w:basedOn w:val="71"/>
    <w:next w:val="62"/>
    <w:qFormat/>
    <w:uiPriority w:val="0"/>
    <w:pPr>
      <w:widowControl/>
      <w:numPr>
        <w:ilvl w:val="4"/>
      </w:numPr>
      <w:outlineLvl w:val="3"/>
    </w:pPr>
  </w:style>
  <w:style w:type="character" w:customStyle="1" w:styleId="101">
    <w:name w:val="不明显参考1"/>
    <w:qFormat/>
    <w:uiPriority w:val="31"/>
    <w:rPr>
      <w:smallCaps/>
      <w:color w:val="C0504D"/>
      <w:u w:val="single"/>
    </w:rPr>
  </w:style>
  <w:style w:type="paragraph" w:customStyle="1" w:styleId="102">
    <w:name w:val="标准文件_示例后续"/>
    <w:basedOn w:val="1"/>
    <w:qFormat/>
    <w:uiPriority w:val="0"/>
    <w:pPr>
      <w:adjustRightInd/>
      <w:spacing w:line="240" w:lineRule="auto"/>
      <w:ind w:firstLine="200" w:firstLineChars="200"/>
    </w:pPr>
    <w:rPr>
      <w:sz w:val="18"/>
      <w:szCs w:val="24"/>
    </w:rPr>
  </w:style>
  <w:style w:type="paragraph" w:customStyle="1" w:styleId="103">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4">
    <w:name w:val="标准文件_四级条标题"/>
    <w:next w:val="62"/>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5">
    <w:name w:val="脚注文本 字符"/>
    <w:link w:val="22"/>
    <w:semiHidden/>
    <w:qFormat/>
    <w:uiPriority w:val="0"/>
    <w:rPr>
      <w:rFonts w:ascii="宋体" w:hAnsi="Times New Roman" w:eastAsia="宋体" w:cs="Times New Roman"/>
      <w:sz w:val="18"/>
      <w:szCs w:val="18"/>
    </w:rPr>
  </w:style>
  <w:style w:type="paragraph" w:customStyle="1" w:styleId="106">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7">
    <w:name w:val="标准文件_图表脚注"/>
    <w:basedOn w:val="1"/>
    <w:next w:val="62"/>
    <w:link w:val="263"/>
    <w:qFormat/>
    <w:uiPriority w:val="0"/>
    <w:pPr>
      <w:numPr>
        <w:ilvl w:val="0"/>
        <w:numId w:val="12"/>
      </w:numPr>
      <w:spacing w:line="240" w:lineRule="auto"/>
      <w:jc w:val="left"/>
    </w:pPr>
    <w:rPr>
      <w:rFonts w:ascii="宋体" w:hAnsi="宋体"/>
      <w:sz w:val="18"/>
    </w:rPr>
  </w:style>
  <w:style w:type="character" w:customStyle="1" w:styleId="108">
    <w:name w:val="标准文件_图表脚注内容"/>
    <w:qFormat/>
    <w:uiPriority w:val="0"/>
    <w:rPr>
      <w:rFonts w:ascii="宋体" w:hAnsi="宋体" w:eastAsia="宋体" w:cs="Times New Roman"/>
      <w:spacing w:val="0"/>
      <w:sz w:val="18"/>
      <w:vertAlign w:val="superscript"/>
    </w:rPr>
  </w:style>
  <w:style w:type="paragraph" w:customStyle="1" w:styleId="109">
    <w:name w:val="标准文件_五级条标题"/>
    <w:next w:val="62"/>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10">
    <w:name w:val="标准文件_章标题"/>
    <w:next w:val="1"/>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11">
    <w:name w:val="标准文件_一级条标题"/>
    <w:basedOn w:val="110"/>
    <w:next w:val="62"/>
    <w:qFormat/>
    <w:uiPriority w:val="0"/>
    <w:pPr>
      <w:numPr>
        <w:ilvl w:val="2"/>
      </w:numPr>
      <w:spacing w:beforeLines="50" w:afterLines="50"/>
      <w:outlineLvl w:val="1"/>
    </w:pPr>
  </w:style>
  <w:style w:type="paragraph" w:customStyle="1" w:styleId="112">
    <w:name w:val="标准文件_一致程度"/>
    <w:basedOn w:val="1"/>
    <w:qFormat/>
    <w:uiPriority w:val="0"/>
    <w:pPr>
      <w:spacing w:line="440" w:lineRule="exact"/>
      <w:jc w:val="center"/>
    </w:pPr>
    <w:rPr>
      <w:sz w:val="28"/>
    </w:rPr>
  </w:style>
  <w:style w:type="paragraph" w:customStyle="1" w:styleId="113">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4">
    <w:name w:val="标准文件_英文图表脚注"/>
    <w:basedOn w:val="61"/>
    <w:qFormat/>
    <w:uiPriority w:val="0"/>
    <w:pPr>
      <w:widowControl/>
      <w:adjustRightInd/>
      <w:snapToGrid/>
      <w:spacing w:line="240" w:lineRule="auto"/>
      <w:ind w:left="79" w:hanging="79" w:hangingChars="80"/>
    </w:pPr>
    <w:rPr>
      <w:rFonts w:ascii="宋体" w:hAnsi="宋体"/>
    </w:rPr>
  </w:style>
  <w:style w:type="paragraph" w:customStyle="1" w:styleId="115">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6">
    <w:name w:val="标准文件_英文注："/>
    <w:basedOn w:val="1"/>
    <w:next w:val="62"/>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7">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8">
    <w:name w:val="标准文件_正文表标题"/>
    <w:next w:val="62"/>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9">
    <w:name w:val="标准文件_正文公式"/>
    <w:basedOn w:val="1"/>
    <w:next w:val="61"/>
    <w:qFormat/>
    <w:uiPriority w:val="0"/>
    <w:pPr>
      <w:tabs>
        <w:tab w:val="center" w:pos="4678"/>
        <w:tab w:val="right" w:leader="middleDot" w:pos="9356"/>
      </w:tabs>
      <w:spacing w:line="240" w:lineRule="auto"/>
    </w:pPr>
    <w:rPr>
      <w:rFonts w:ascii="宋体" w:hAnsi="宋体"/>
    </w:rPr>
  </w:style>
  <w:style w:type="paragraph" w:customStyle="1" w:styleId="120">
    <w:name w:val="标准文件_正文图标题"/>
    <w:next w:val="62"/>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21">
    <w:name w:val="标准文件_正文英文表标题"/>
    <w:next w:val="62"/>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22">
    <w:name w:val="标准文件_正文英文图标题"/>
    <w:next w:val="62"/>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3">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4">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5">
    <w:name w:val="发布部门"/>
    <w:next w:val="62"/>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6">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7">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8">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30">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31">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32">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3">
    <w:name w:val="封面正文"/>
    <w:qFormat/>
    <w:uiPriority w:val="0"/>
    <w:pPr>
      <w:jc w:val="both"/>
    </w:pPr>
    <w:rPr>
      <w:rFonts w:ascii="Times New Roman" w:hAnsi="Times New Roman" w:eastAsia="宋体" w:cs="Times New Roman"/>
      <w:lang w:val="en-US" w:eastAsia="zh-CN" w:bidi="ar-SA"/>
    </w:rPr>
  </w:style>
  <w:style w:type="paragraph" w:customStyle="1" w:styleId="134">
    <w:name w:val="附录二级无标题条"/>
    <w:basedOn w:val="1"/>
    <w:next w:val="62"/>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5">
    <w:name w:val="附录三级无标题条"/>
    <w:basedOn w:val="134"/>
    <w:next w:val="62"/>
    <w:qFormat/>
    <w:uiPriority w:val="0"/>
    <w:pPr>
      <w:outlineLvl w:val="4"/>
    </w:pPr>
  </w:style>
  <w:style w:type="paragraph" w:customStyle="1" w:styleId="136">
    <w:name w:val="附录四级无标题条"/>
    <w:basedOn w:val="135"/>
    <w:next w:val="62"/>
    <w:qFormat/>
    <w:uiPriority w:val="0"/>
    <w:pPr>
      <w:outlineLvl w:val="5"/>
    </w:pPr>
  </w:style>
  <w:style w:type="paragraph" w:customStyle="1" w:styleId="137">
    <w:name w:val="附录图"/>
    <w:next w:val="62"/>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8">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9">
    <w:name w:val="附录五级无标题条"/>
    <w:basedOn w:val="136"/>
    <w:next w:val="62"/>
    <w:qFormat/>
    <w:uiPriority w:val="0"/>
    <w:pPr>
      <w:outlineLvl w:val="6"/>
    </w:pPr>
  </w:style>
  <w:style w:type="paragraph" w:customStyle="1" w:styleId="140">
    <w:name w:val="附录性质"/>
    <w:basedOn w:val="1"/>
    <w:qFormat/>
    <w:uiPriority w:val="0"/>
    <w:pPr>
      <w:widowControl/>
      <w:adjustRightInd/>
      <w:jc w:val="center"/>
    </w:pPr>
    <w:rPr>
      <w:rFonts w:ascii="黑体" w:eastAsia="黑体"/>
    </w:rPr>
  </w:style>
  <w:style w:type="paragraph" w:customStyle="1" w:styleId="141">
    <w:name w:val="附录一级无标题条"/>
    <w:basedOn w:val="93"/>
    <w:next w:val="62"/>
    <w:qFormat/>
    <w:uiPriority w:val="0"/>
    <w:pPr>
      <w:autoSpaceDN w:val="0"/>
      <w:outlineLvl w:val="2"/>
    </w:pPr>
    <w:rPr>
      <w:rFonts w:ascii="宋体" w:hAnsi="宋体" w:eastAsia="宋体"/>
    </w:rPr>
  </w:style>
  <w:style w:type="character" w:customStyle="1" w:styleId="142">
    <w:name w:val="个人答复风格"/>
    <w:qFormat/>
    <w:uiPriority w:val="0"/>
    <w:rPr>
      <w:rFonts w:ascii="Arial" w:hAnsi="Arial" w:eastAsia="宋体" w:cs="Arial"/>
      <w:color w:val="auto"/>
      <w:spacing w:val="0"/>
      <w:sz w:val="20"/>
    </w:rPr>
  </w:style>
  <w:style w:type="character" w:customStyle="1" w:styleId="143">
    <w:name w:val="个人撰写风格"/>
    <w:qFormat/>
    <w:uiPriority w:val="0"/>
    <w:rPr>
      <w:rFonts w:ascii="Arial" w:hAnsi="Arial" w:eastAsia="宋体" w:cs="Arial"/>
      <w:color w:val="auto"/>
      <w:spacing w:val="0"/>
      <w:sz w:val="20"/>
    </w:rPr>
  </w:style>
  <w:style w:type="paragraph" w:customStyle="1" w:styleId="144">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5">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6">
    <w:name w:val="列项·"/>
    <w:basedOn w:val="62"/>
    <w:qFormat/>
    <w:uiPriority w:val="0"/>
    <w:pPr>
      <w:tabs>
        <w:tab w:val="left" w:pos="840"/>
      </w:tabs>
    </w:pPr>
  </w:style>
  <w:style w:type="paragraph" w:customStyle="1" w:styleId="14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8">
    <w:name w:val="目录 21"/>
    <w:basedOn w:val="1"/>
    <w:next w:val="1"/>
    <w:semiHidden/>
    <w:qFormat/>
    <w:uiPriority w:val="0"/>
    <w:pPr>
      <w:adjustRightInd/>
      <w:spacing w:line="240" w:lineRule="auto"/>
      <w:jc w:val="left"/>
    </w:pPr>
    <w:rPr>
      <w:bCs/>
      <w:iCs/>
    </w:rPr>
  </w:style>
  <w:style w:type="paragraph" w:customStyle="1" w:styleId="149">
    <w:name w:val="目录 31"/>
    <w:basedOn w:val="1"/>
    <w:next w:val="1"/>
    <w:semiHidden/>
    <w:qFormat/>
    <w:uiPriority w:val="0"/>
    <w:pPr>
      <w:spacing w:line="240" w:lineRule="auto"/>
    </w:pPr>
    <w:rPr>
      <w:rFonts w:ascii="宋体" w:hAnsi="宋体"/>
      <w:iCs/>
    </w:rPr>
  </w:style>
  <w:style w:type="paragraph" w:customStyle="1" w:styleId="150">
    <w:name w:val="目录 41"/>
    <w:basedOn w:val="1"/>
    <w:next w:val="1"/>
    <w:semiHidden/>
    <w:qFormat/>
    <w:uiPriority w:val="0"/>
    <w:pPr>
      <w:adjustRightInd/>
      <w:spacing w:line="240" w:lineRule="auto"/>
      <w:jc w:val="left"/>
    </w:pPr>
  </w:style>
  <w:style w:type="paragraph" w:customStyle="1" w:styleId="151">
    <w:name w:val="目录 51"/>
    <w:basedOn w:val="1"/>
    <w:next w:val="1"/>
    <w:semiHidden/>
    <w:qFormat/>
    <w:uiPriority w:val="0"/>
    <w:pPr>
      <w:spacing w:line="240" w:lineRule="auto"/>
    </w:pPr>
    <w:rPr>
      <w:rFonts w:ascii="宋体" w:hAnsi="宋体"/>
    </w:rPr>
  </w:style>
  <w:style w:type="paragraph" w:customStyle="1" w:styleId="152">
    <w:name w:val="目录 61"/>
    <w:basedOn w:val="1"/>
    <w:next w:val="1"/>
    <w:semiHidden/>
    <w:qFormat/>
    <w:uiPriority w:val="0"/>
    <w:pPr>
      <w:adjustRightInd/>
      <w:spacing w:line="240" w:lineRule="auto"/>
      <w:jc w:val="left"/>
    </w:pPr>
  </w:style>
  <w:style w:type="paragraph" w:customStyle="1" w:styleId="153">
    <w:name w:val="目录 71"/>
    <w:basedOn w:val="152"/>
    <w:semiHidden/>
    <w:qFormat/>
    <w:uiPriority w:val="0"/>
    <w:pPr>
      <w:ind w:left="1260"/>
    </w:pPr>
  </w:style>
  <w:style w:type="paragraph" w:customStyle="1" w:styleId="154">
    <w:name w:val="目录 81"/>
    <w:basedOn w:val="153"/>
    <w:semiHidden/>
    <w:qFormat/>
    <w:uiPriority w:val="0"/>
    <w:pPr>
      <w:ind w:left="1470"/>
    </w:pPr>
  </w:style>
  <w:style w:type="paragraph" w:customStyle="1" w:styleId="155">
    <w:name w:val="目录 91"/>
    <w:basedOn w:val="154"/>
    <w:semiHidden/>
    <w:qFormat/>
    <w:uiPriority w:val="0"/>
    <w:pPr>
      <w:ind w:left="1680"/>
    </w:pPr>
  </w:style>
  <w:style w:type="paragraph" w:customStyle="1" w:styleId="156">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7">
    <w:name w:val="其他发布部门"/>
    <w:basedOn w:val="125"/>
    <w:qFormat/>
    <w:uiPriority w:val="0"/>
    <w:pPr>
      <w:framePr w:wrap="around"/>
      <w:spacing w:line="0" w:lineRule="atLeast"/>
    </w:pPr>
    <w:rPr>
      <w:rFonts w:ascii="黑体" w:eastAsia="黑体"/>
      <w:b w:val="0"/>
    </w:rPr>
  </w:style>
  <w:style w:type="paragraph" w:customStyle="1" w:styleId="158">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9">
    <w:name w:val="三级无标题条"/>
    <w:basedOn w:val="1"/>
    <w:qFormat/>
    <w:uiPriority w:val="0"/>
    <w:pPr>
      <w:numPr>
        <w:ilvl w:val="4"/>
        <w:numId w:val="20"/>
      </w:numPr>
      <w:adjustRightInd/>
      <w:spacing w:line="240" w:lineRule="auto"/>
    </w:pPr>
    <w:rPr>
      <w:rFonts w:ascii="宋体" w:hAnsi="宋体"/>
      <w:szCs w:val="24"/>
    </w:rPr>
  </w:style>
  <w:style w:type="paragraph" w:customStyle="1" w:styleId="160">
    <w:name w:val="实施日期"/>
    <w:basedOn w:val="126"/>
    <w:qFormat/>
    <w:uiPriority w:val="0"/>
    <w:pPr>
      <w:framePr w:hSpace="0" w:wrap="around" w:xAlign="right"/>
      <w:jc w:val="right"/>
    </w:pPr>
  </w:style>
  <w:style w:type="paragraph" w:customStyle="1" w:styleId="161">
    <w:name w:val="四级无标题条"/>
    <w:basedOn w:val="1"/>
    <w:qFormat/>
    <w:uiPriority w:val="0"/>
    <w:pPr>
      <w:numPr>
        <w:ilvl w:val="5"/>
        <w:numId w:val="20"/>
      </w:numPr>
      <w:adjustRightInd/>
      <w:spacing w:line="240" w:lineRule="auto"/>
    </w:pPr>
    <w:rPr>
      <w:rFonts w:ascii="宋体" w:hAnsi="宋体"/>
      <w:szCs w:val="24"/>
    </w:rPr>
  </w:style>
  <w:style w:type="paragraph" w:customStyle="1" w:styleId="16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3">
    <w:name w:val="无标题条"/>
    <w:next w:val="62"/>
    <w:qFormat/>
    <w:uiPriority w:val="0"/>
    <w:pPr>
      <w:jc w:val="both"/>
    </w:pPr>
    <w:rPr>
      <w:rFonts w:ascii="宋体" w:hAnsi="宋体" w:eastAsia="宋体" w:cs="Times New Roman"/>
      <w:sz w:val="21"/>
      <w:lang w:val="en-US" w:eastAsia="zh-CN" w:bidi="ar-SA"/>
    </w:rPr>
  </w:style>
  <w:style w:type="paragraph" w:customStyle="1" w:styleId="164">
    <w:name w:val="五级无标题条"/>
    <w:basedOn w:val="1"/>
    <w:qFormat/>
    <w:uiPriority w:val="0"/>
    <w:pPr>
      <w:numPr>
        <w:ilvl w:val="6"/>
        <w:numId w:val="20"/>
      </w:numPr>
      <w:adjustRightInd/>
    </w:pPr>
    <w:rPr>
      <w:szCs w:val="24"/>
    </w:rPr>
  </w:style>
  <w:style w:type="paragraph" w:customStyle="1" w:styleId="165">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6">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7">
    <w:name w:val="注×:后续"/>
    <w:basedOn w:val="166"/>
    <w:qFormat/>
    <w:uiPriority w:val="0"/>
    <w:pPr>
      <w:ind w:left="1406" w:leftChars="0" w:hanging="499" w:firstLineChars="0"/>
    </w:pPr>
  </w:style>
  <w:style w:type="paragraph" w:customStyle="1" w:styleId="168">
    <w:name w:val="标准文件_一级无标题"/>
    <w:basedOn w:val="111"/>
    <w:qFormat/>
    <w:uiPriority w:val="0"/>
    <w:pPr>
      <w:spacing w:beforeLines="0" w:afterLines="0"/>
      <w:outlineLvl w:val="9"/>
    </w:pPr>
    <w:rPr>
      <w:rFonts w:ascii="宋体" w:eastAsia="宋体"/>
    </w:rPr>
  </w:style>
  <w:style w:type="paragraph" w:customStyle="1" w:styleId="169">
    <w:name w:val="标准文件_五级无标题"/>
    <w:basedOn w:val="109"/>
    <w:qFormat/>
    <w:uiPriority w:val="0"/>
    <w:pPr>
      <w:spacing w:beforeLines="0" w:afterLines="0"/>
      <w:outlineLvl w:val="9"/>
    </w:pPr>
    <w:rPr>
      <w:rFonts w:ascii="宋体" w:eastAsia="宋体"/>
    </w:rPr>
  </w:style>
  <w:style w:type="paragraph" w:customStyle="1" w:styleId="170">
    <w:name w:val="标准文件_三级无标题"/>
    <w:basedOn w:val="100"/>
    <w:qFormat/>
    <w:uiPriority w:val="0"/>
    <w:pPr>
      <w:spacing w:beforeLines="0" w:afterLines="0"/>
      <w:outlineLvl w:val="9"/>
    </w:pPr>
    <w:rPr>
      <w:rFonts w:ascii="宋体" w:eastAsia="宋体"/>
    </w:rPr>
  </w:style>
  <w:style w:type="paragraph" w:customStyle="1" w:styleId="171">
    <w:name w:val="标准文件_二级无标题"/>
    <w:basedOn w:val="71"/>
    <w:qFormat/>
    <w:uiPriority w:val="0"/>
    <w:pPr>
      <w:spacing w:beforeLines="0" w:afterLines="0"/>
      <w:outlineLvl w:val="9"/>
    </w:pPr>
    <w:rPr>
      <w:rFonts w:ascii="宋体" w:eastAsia="宋体"/>
    </w:rPr>
  </w:style>
  <w:style w:type="paragraph" w:customStyle="1" w:styleId="172">
    <w:name w:val="标准_四级无标题"/>
    <w:basedOn w:val="104"/>
    <w:next w:val="62"/>
    <w:qFormat/>
    <w:uiPriority w:val="0"/>
    <w:rPr>
      <w:rFonts w:eastAsia="宋体"/>
    </w:rPr>
  </w:style>
  <w:style w:type="paragraph" w:customStyle="1" w:styleId="173">
    <w:name w:val="标准文件_四级无标题"/>
    <w:basedOn w:val="104"/>
    <w:qFormat/>
    <w:uiPriority w:val="0"/>
    <w:pPr>
      <w:spacing w:beforeLines="0" w:afterLines="0"/>
      <w:outlineLvl w:val="9"/>
    </w:pPr>
    <w:rPr>
      <w:rFonts w:ascii="宋体" w:hAnsi="黑体" w:eastAsia="宋体"/>
      <w:szCs w:val="52"/>
    </w:rPr>
  </w:style>
  <w:style w:type="paragraph" w:customStyle="1" w:styleId="174">
    <w:name w:val="标准文件_大写罗马数字编号列项"/>
    <w:basedOn w:val="62"/>
    <w:qFormat/>
    <w:uiPriority w:val="0"/>
    <w:pPr>
      <w:numPr>
        <w:ilvl w:val="0"/>
        <w:numId w:val="23"/>
      </w:numPr>
      <w:ind w:firstLine="0" w:firstLineChars="0"/>
    </w:pPr>
    <w:rPr>
      <w:rFonts w:ascii="Times New Roman" w:cs="Arial"/>
      <w:szCs w:val="28"/>
    </w:rPr>
  </w:style>
  <w:style w:type="paragraph" w:customStyle="1" w:styleId="175">
    <w:name w:val="标准文件_小写罗马数字编号列项"/>
    <w:basedOn w:val="62"/>
    <w:qFormat/>
    <w:uiPriority w:val="0"/>
    <w:pPr>
      <w:numPr>
        <w:ilvl w:val="0"/>
        <w:numId w:val="24"/>
      </w:numPr>
      <w:ind w:firstLine="0" w:firstLineChars="0"/>
    </w:pPr>
    <w:rPr>
      <w:rFonts w:cs="Arial"/>
      <w:szCs w:val="28"/>
    </w:rPr>
  </w:style>
  <w:style w:type="paragraph" w:customStyle="1" w:styleId="176">
    <w:name w:val="标准文件_附录标题"/>
    <w:basedOn w:val="82"/>
    <w:qFormat/>
    <w:uiPriority w:val="0"/>
    <w:pPr>
      <w:numPr>
        <w:numId w:val="0"/>
      </w:numPr>
      <w:spacing w:after="280"/>
      <w:outlineLvl w:val="9"/>
    </w:pPr>
  </w:style>
  <w:style w:type="paragraph" w:customStyle="1" w:styleId="177">
    <w:name w:val="标准文件_二级项"/>
    <w:qFormat/>
    <w:uiPriority w:val="0"/>
    <w:rPr>
      <w:rFonts w:ascii="宋体" w:hAnsi="Times New Roman" w:eastAsia="宋体" w:cs="Times New Roman"/>
      <w:sz w:val="21"/>
      <w:lang w:val="en-US" w:eastAsia="zh-CN" w:bidi="ar-SA"/>
    </w:rPr>
  </w:style>
  <w:style w:type="paragraph" w:customStyle="1" w:styleId="178">
    <w:name w:val="标准文件_三级项"/>
    <w:basedOn w:val="1"/>
    <w:qFormat/>
    <w:uiPriority w:val="0"/>
    <w:pPr>
      <w:numPr>
        <w:ilvl w:val="2"/>
        <w:numId w:val="21"/>
      </w:numPr>
      <w:spacing w:line="536870612" w:lineRule="auto"/>
    </w:pPr>
    <w:rPr>
      <w:rFonts w:ascii="Times New Roman" w:hAnsi="Times New Roman"/>
    </w:rPr>
  </w:style>
  <w:style w:type="paragraph" w:customStyle="1" w:styleId="179">
    <w:name w:val="图表脚注说明"/>
    <w:basedOn w:val="1"/>
    <w:next w:val="62"/>
    <w:qFormat/>
    <w:uiPriority w:val="0"/>
    <w:pPr>
      <w:numPr>
        <w:ilvl w:val="0"/>
        <w:numId w:val="25"/>
      </w:numPr>
      <w:adjustRightInd/>
      <w:spacing w:line="240" w:lineRule="auto"/>
      <w:ind w:left="783"/>
    </w:pPr>
    <w:rPr>
      <w:rFonts w:ascii="宋体" w:hAnsi="Times New Roman"/>
      <w:sz w:val="18"/>
      <w:szCs w:val="18"/>
    </w:rPr>
  </w:style>
  <w:style w:type="paragraph" w:customStyle="1" w:styleId="180">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81">
    <w:name w:val="标准文件_索引字母"/>
    <w:next w:val="62"/>
    <w:qFormat/>
    <w:uiPriority w:val="0"/>
    <w:pPr>
      <w:jc w:val="center"/>
    </w:pPr>
    <w:rPr>
      <w:rFonts w:ascii="宋体" w:hAnsi="宋体" w:eastAsia="Times New Roman" w:cs="Times New Roman"/>
      <w:b/>
      <w:kern w:val="2"/>
      <w:sz w:val="21"/>
      <w:lang w:val="en-US" w:eastAsia="zh-CN" w:bidi="ar-SA"/>
    </w:rPr>
  </w:style>
  <w:style w:type="paragraph" w:customStyle="1" w:styleId="182">
    <w:name w:val="标准文件_附录前"/>
    <w:next w:val="62"/>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3">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184">
    <w:name w:val="标准文件_表格"/>
    <w:basedOn w:val="62"/>
    <w:qFormat/>
    <w:uiPriority w:val="0"/>
    <w:pPr>
      <w:ind w:firstLine="0" w:firstLineChars="0"/>
      <w:jc w:val="center"/>
    </w:pPr>
    <w:rPr>
      <w:sz w:val="18"/>
    </w:rPr>
  </w:style>
  <w:style w:type="paragraph" w:customStyle="1" w:styleId="185">
    <w:name w:val="标准文件_注："/>
    <w:next w:val="62"/>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6">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7">
    <w:name w:val="标准文件_示例："/>
    <w:next w:val="188"/>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8">
    <w:name w:val="标准文件_示例内容"/>
    <w:basedOn w:val="62"/>
    <w:qFormat/>
    <w:uiPriority w:val="0"/>
    <w:pPr>
      <w:ind w:firstLine="420"/>
    </w:pPr>
    <w:rPr>
      <w:sz w:val="18"/>
    </w:rPr>
  </w:style>
  <w:style w:type="paragraph" w:customStyle="1" w:styleId="189">
    <w:name w:val="标准文件_示例×："/>
    <w:basedOn w:val="1"/>
    <w:next w:val="188"/>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90">
    <w:name w:val="标准文件_段 Char"/>
    <w:link w:val="62"/>
    <w:qFormat/>
    <w:uiPriority w:val="0"/>
    <w:rPr>
      <w:rFonts w:ascii="宋体" w:hAnsi="Times New Roman"/>
      <w:sz w:val="21"/>
    </w:rPr>
  </w:style>
  <w:style w:type="paragraph" w:customStyle="1" w:styleId="191">
    <w:name w:val="标准文件_表格续"/>
    <w:basedOn w:val="62"/>
    <w:next w:val="62"/>
    <w:qFormat/>
    <w:uiPriority w:val="0"/>
    <w:pPr>
      <w:jc w:val="center"/>
    </w:pPr>
    <w:rPr>
      <w:rFonts w:ascii="黑体" w:hAnsi="黑体" w:eastAsia="黑体"/>
    </w:rPr>
  </w:style>
  <w:style w:type="character" w:styleId="192">
    <w:name w:val="Placeholder Text"/>
    <w:basedOn w:val="33"/>
    <w:semiHidden/>
    <w:qFormat/>
    <w:uiPriority w:val="99"/>
    <w:rPr>
      <w:color w:val="808080"/>
    </w:rPr>
  </w:style>
  <w:style w:type="paragraph" w:customStyle="1" w:styleId="193">
    <w:name w:val="标准文件_二级项2"/>
    <w:basedOn w:val="62"/>
    <w:qFormat/>
    <w:uiPriority w:val="0"/>
    <w:pPr>
      <w:numPr>
        <w:ilvl w:val="1"/>
        <w:numId w:val="21"/>
      </w:numPr>
      <w:ind w:left="1271" w:hanging="420" w:firstLineChars="0"/>
    </w:pPr>
  </w:style>
  <w:style w:type="paragraph" w:customStyle="1" w:styleId="194">
    <w:name w:val="标准文件_三级项2"/>
    <w:basedOn w:val="62"/>
    <w:qFormat/>
    <w:uiPriority w:val="0"/>
    <w:pPr>
      <w:numPr>
        <w:ilvl w:val="0"/>
        <w:numId w:val="30"/>
      </w:numPr>
      <w:spacing w:line="300" w:lineRule="exact"/>
      <w:ind w:left="1276" w:hanging="425" w:firstLineChars="0"/>
    </w:pPr>
    <w:rPr>
      <w:rFonts w:ascii="Times New Roman"/>
    </w:rPr>
  </w:style>
  <w:style w:type="paragraph" w:customStyle="1" w:styleId="195">
    <w:name w:val="标准文件_一级项2"/>
    <w:basedOn w:val="62"/>
    <w:qFormat/>
    <w:uiPriority w:val="0"/>
    <w:pPr>
      <w:numPr>
        <w:ilvl w:val="0"/>
        <w:numId w:val="31"/>
      </w:numPr>
      <w:spacing w:line="300" w:lineRule="exact"/>
      <w:ind w:left="1271" w:hanging="420" w:firstLineChars="0"/>
    </w:pPr>
    <w:rPr>
      <w:rFonts w:ascii="Times New Roman"/>
    </w:rPr>
  </w:style>
  <w:style w:type="paragraph" w:customStyle="1" w:styleId="196">
    <w:name w:val="标准文件_提示"/>
    <w:basedOn w:val="62"/>
    <w:next w:val="62"/>
    <w:qFormat/>
    <w:uiPriority w:val="0"/>
    <w:pPr>
      <w:ind w:firstLine="420"/>
    </w:pPr>
    <w:rPr>
      <w:rFonts w:ascii="黑体" w:eastAsia="黑体"/>
    </w:rPr>
  </w:style>
  <w:style w:type="character" w:customStyle="1" w:styleId="197">
    <w:name w:val="标准文件_来源"/>
    <w:basedOn w:val="33"/>
    <w:qFormat/>
    <w:uiPriority w:val="1"/>
    <w:rPr>
      <w:rFonts w:eastAsia="宋体"/>
      <w:sz w:val="21"/>
    </w:rPr>
  </w:style>
  <w:style w:type="paragraph" w:customStyle="1" w:styleId="198">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9">
    <w:name w:val="其他发布日期"/>
    <w:basedOn w:val="126"/>
    <w:qFormat/>
    <w:uiPriority w:val="0"/>
    <w:pPr>
      <w:framePr w:w="3997" w:h="471" w:hRule="exact" w:hSpace="0" w:vSpace="181" w:wrap="around" w:vAnchor="page" w:hAnchor="page" w:x="1419" w:y="14097"/>
    </w:pPr>
  </w:style>
  <w:style w:type="paragraph" w:customStyle="1" w:styleId="200">
    <w:name w:val="其他实施日期"/>
    <w:basedOn w:val="160"/>
    <w:qFormat/>
    <w:uiPriority w:val="0"/>
    <w:pPr>
      <w:framePr w:w="3997" w:h="471" w:hRule="exact" w:vSpace="181" w:wrap="around" w:vAnchor="page" w:hAnchor="page" w:x="7089" w:y="14097"/>
    </w:pPr>
  </w:style>
  <w:style w:type="paragraph" w:customStyle="1" w:styleId="201">
    <w:name w:val="标准文件_文件编号"/>
    <w:basedOn w:val="62"/>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202">
    <w:name w:val="标准文件_替换文件编号"/>
    <w:basedOn w:val="201"/>
    <w:qFormat/>
    <w:uiPriority w:val="0"/>
    <w:pPr>
      <w:spacing w:before="57"/>
    </w:pPr>
    <w:rPr>
      <w:sz w:val="21"/>
    </w:rPr>
  </w:style>
  <w:style w:type="paragraph" w:customStyle="1" w:styleId="203">
    <w:name w:val="标准文件_文件名称"/>
    <w:basedOn w:val="62"/>
    <w:next w:val="62"/>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4">
    <w:name w:val="标准文件_附录图标号"/>
    <w:basedOn w:val="62"/>
    <w:next w:val="62"/>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5">
    <w:name w:val="标准文件_附录表标号"/>
    <w:basedOn w:val="62"/>
    <w:next w:val="62"/>
    <w:qFormat/>
    <w:uiPriority w:val="0"/>
    <w:pPr>
      <w:numPr>
        <w:ilvl w:val="0"/>
        <w:numId w:val="5"/>
      </w:numPr>
      <w:spacing w:line="14" w:lineRule="exact"/>
      <w:ind w:firstLine="0" w:firstLineChars="0"/>
      <w:jc w:val="center"/>
    </w:pPr>
    <w:rPr>
      <w:rFonts w:eastAsia="黑体"/>
      <w:vanish/>
      <w:sz w:val="2"/>
    </w:rPr>
  </w:style>
  <w:style w:type="paragraph" w:customStyle="1" w:styleId="206">
    <w:name w:val="标准文件_引言一级条标题"/>
    <w:basedOn w:val="62"/>
    <w:next w:val="62"/>
    <w:qFormat/>
    <w:uiPriority w:val="0"/>
    <w:pPr>
      <w:numPr>
        <w:ilvl w:val="1"/>
        <w:numId w:val="8"/>
      </w:numPr>
      <w:spacing w:beforeLines="50" w:afterLines="50"/>
      <w:ind w:firstLineChars="0"/>
    </w:pPr>
    <w:rPr>
      <w:rFonts w:ascii="黑体" w:eastAsia="黑体"/>
    </w:rPr>
  </w:style>
  <w:style w:type="paragraph" w:customStyle="1" w:styleId="207">
    <w:name w:val="标准文件_引言二级条标题"/>
    <w:basedOn w:val="62"/>
    <w:next w:val="62"/>
    <w:qFormat/>
    <w:uiPriority w:val="0"/>
    <w:pPr>
      <w:numPr>
        <w:ilvl w:val="2"/>
        <w:numId w:val="8"/>
      </w:numPr>
      <w:spacing w:beforeLines="50" w:afterLines="50"/>
      <w:ind w:firstLineChars="0"/>
    </w:pPr>
    <w:rPr>
      <w:rFonts w:ascii="黑体" w:eastAsia="黑体"/>
    </w:rPr>
  </w:style>
  <w:style w:type="paragraph" w:customStyle="1" w:styleId="208">
    <w:name w:val="标准文件_引言三级条标题"/>
    <w:basedOn w:val="62"/>
    <w:next w:val="62"/>
    <w:qFormat/>
    <w:uiPriority w:val="0"/>
    <w:pPr>
      <w:numPr>
        <w:ilvl w:val="3"/>
        <w:numId w:val="8"/>
      </w:numPr>
      <w:spacing w:beforeLines="50" w:afterLines="50"/>
      <w:ind w:firstLineChars="0"/>
    </w:pPr>
    <w:rPr>
      <w:rFonts w:ascii="黑体" w:eastAsia="黑体"/>
    </w:rPr>
  </w:style>
  <w:style w:type="paragraph" w:customStyle="1" w:styleId="209">
    <w:name w:val="标准文件_引言四级条标题"/>
    <w:basedOn w:val="62"/>
    <w:next w:val="62"/>
    <w:qFormat/>
    <w:uiPriority w:val="0"/>
    <w:pPr>
      <w:numPr>
        <w:ilvl w:val="4"/>
        <w:numId w:val="8"/>
      </w:numPr>
      <w:spacing w:beforeLines="50" w:afterLines="50"/>
      <w:ind w:firstLineChars="0"/>
    </w:pPr>
    <w:rPr>
      <w:rFonts w:ascii="黑体" w:eastAsia="黑体"/>
    </w:rPr>
  </w:style>
  <w:style w:type="paragraph" w:customStyle="1" w:styleId="210">
    <w:name w:val="标准文件_引言五级条标题"/>
    <w:basedOn w:val="62"/>
    <w:next w:val="62"/>
    <w:qFormat/>
    <w:uiPriority w:val="0"/>
    <w:pPr>
      <w:numPr>
        <w:ilvl w:val="5"/>
        <w:numId w:val="8"/>
      </w:numPr>
      <w:spacing w:beforeLines="50" w:afterLines="50"/>
      <w:ind w:firstLineChars="0"/>
    </w:pPr>
    <w:rPr>
      <w:rFonts w:ascii="黑体" w:eastAsia="黑体"/>
    </w:rPr>
  </w:style>
  <w:style w:type="paragraph" w:customStyle="1" w:styleId="211">
    <w:name w:val="标准文件_注后"/>
    <w:basedOn w:val="62"/>
    <w:qFormat/>
    <w:uiPriority w:val="0"/>
    <w:pPr>
      <w:ind w:left="811" w:firstLine="0" w:firstLineChars="0"/>
    </w:pPr>
    <w:rPr>
      <w:sz w:val="18"/>
    </w:rPr>
  </w:style>
  <w:style w:type="paragraph" w:customStyle="1" w:styleId="212">
    <w:name w:val="标准文件_注X后"/>
    <w:basedOn w:val="62"/>
    <w:qFormat/>
    <w:uiPriority w:val="0"/>
    <w:pPr>
      <w:ind w:left="811" w:firstLine="0" w:firstLineChars="0"/>
    </w:pPr>
    <w:rPr>
      <w:sz w:val="18"/>
    </w:rPr>
  </w:style>
  <w:style w:type="paragraph" w:customStyle="1" w:styleId="213">
    <w:name w:val="标准文件_示例后"/>
    <w:basedOn w:val="62"/>
    <w:qFormat/>
    <w:uiPriority w:val="0"/>
    <w:pPr>
      <w:ind w:left="964" w:firstLine="0" w:firstLineChars="0"/>
    </w:pPr>
    <w:rPr>
      <w:sz w:val="18"/>
    </w:rPr>
  </w:style>
  <w:style w:type="paragraph" w:customStyle="1" w:styleId="214">
    <w:name w:val="标准文件_示例X后"/>
    <w:basedOn w:val="62"/>
    <w:link w:val="215"/>
    <w:qFormat/>
    <w:uiPriority w:val="0"/>
    <w:pPr>
      <w:ind w:left="1049" w:firstLine="0" w:firstLineChars="0"/>
    </w:pPr>
    <w:rPr>
      <w:sz w:val="18"/>
    </w:rPr>
  </w:style>
  <w:style w:type="character" w:customStyle="1" w:styleId="215">
    <w:name w:val="标准文件_示例X后 字符"/>
    <w:basedOn w:val="190"/>
    <w:link w:val="214"/>
    <w:qFormat/>
    <w:uiPriority w:val="0"/>
    <w:rPr>
      <w:rFonts w:ascii="宋体" w:hAnsi="Times New Roman"/>
      <w:sz w:val="18"/>
    </w:rPr>
  </w:style>
  <w:style w:type="paragraph" w:customStyle="1" w:styleId="216">
    <w:name w:val="标准文件_索引项"/>
    <w:basedOn w:val="62"/>
    <w:next w:val="62"/>
    <w:qFormat/>
    <w:uiPriority w:val="0"/>
    <w:pPr>
      <w:tabs>
        <w:tab w:val="right" w:leader="dot" w:pos="9356"/>
      </w:tabs>
      <w:ind w:left="210" w:hanging="210" w:firstLineChars="0"/>
      <w:jc w:val="left"/>
    </w:pPr>
  </w:style>
  <w:style w:type="paragraph" w:customStyle="1" w:styleId="217">
    <w:name w:val="标准文件_附录一级无标题"/>
    <w:basedOn w:val="84"/>
    <w:qFormat/>
    <w:uiPriority w:val="0"/>
    <w:pPr>
      <w:spacing w:beforeLines="0" w:afterLines="0" w:line="276" w:lineRule="auto"/>
      <w:outlineLvl w:val="9"/>
    </w:pPr>
    <w:rPr>
      <w:rFonts w:ascii="宋体" w:eastAsia="宋体"/>
    </w:rPr>
  </w:style>
  <w:style w:type="paragraph" w:customStyle="1" w:styleId="218">
    <w:name w:val="标准文件_附录二级无标题"/>
    <w:basedOn w:val="85"/>
    <w:qFormat/>
    <w:uiPriority w:val="0"/>
    <w:pPr>
      <w:spacing w:beforeLines="0" w:afterLines="0" w:line="276" w:lineRule="auto"/>
      <w:outlineLvl w:val="9"/>
    </w:pPr>
    <w:rPr>
      <w:rFonts w:ascii="宋体" w:eastAsia="宋体"/>
    </w:rPr>
  </w:style>
  <w:style w:type="paragraph" w:customStyle="1" w:styleId="219">
    <w:name w:val="标准文件_附录三级无标题"/>
    <w:basedOn w:val="87"/>
    <w:qFormat/>
    <w:uiPriority w:val="0"/>
    <w:pPr>
      <w:spacing w:beforeLines="0" w:afterLines="0" w:line="276" w:lineRule="auto"/>
      <w:outlineLvl w:val="9"/>
    </w:pPr>
    <w:rPr>
      <w:rFonts w:ascii="宋体" w:eastAsia="宋体"/>
    </w:rPr>
  </w:style>
  <w:style w:type="paragraph" w:customStyle="1" w:styleId="220">
    <w:name w:val="标准文件_附录四级无标题"/>
    <w:basedOn w:val="88"/>
    <w:qFormat/>
    <w:uiPriority w:val="0"/>
    <w:pPr>
      <w:spacing w:beforeLines="0" w:afterLines="0" w:line="276" w:lineRule="auto"/>
      <w:outlineLvl w:val="9"/>
    </w:pPr>
    <w:rPr>
      <w:rFonts w:ascii="宋体" w:eastAsia="宋体"/>
    </w:rPr>
  </w:style>
  <w:style w:type="paragraph" w:customStyle="1" w:styleId="221">
    <w:name w:val="标准文件_附录五级无标题"/>
    <w:basedOn w:val="90"/>
    <w:qFormat/>
    <w:uiPriority w:val="0"/>
    <w:pPr>
      <w:spacing w:beforeLines="0" w:afterLines="0" w:line="276" w:lineRule="auto"/>
      <w:outlineLvl w:val="9"/>
    </w:pPr>
    <w:rPr>
      <w:rFonts w:ascii="宋体" w:eastAsia="宋体"/>
    </w:rPr>
  </w:style>
  <w:style w:type="paragraph" w:customStyle="1" w:styleId="222">
    <w:name w:val="标准文件_引言一级无标题"/>
    <w:basedOn w:val="206"/>
    <w:next w:val="62"/>
    <w:qFormat/>
    <w:uiPriority w:val="0"/>
    <w:pPr>
      <w:spacing w:beforeLines="0" w:afterLines="0" w:line="276" w:lineRule="auto"/>
    </w:pPr>
    <w:rPr>
      <w:rFonts w:ascii="宋体" w:eastAsia="宋体"/>
    </w:rPr>
  </w:style>
  <w:style w:type="paragraph" w:customStyle="1" w:styleId="223">
    <w:name w:val="标准文件_引言二级无标题"/>
    <w:basedOn w:val="207"/>
    <w:next w:val="62"/>
    <w:qFormat/>
    <w:uiPriority w:val="0"/>
    <w:pPr>
      <w:spacing w:beforeLines="0" w:afterLines="0" w:line="276" w:lineRule="auto"/>
    </w:pPr>
    <w:rPr>
      <w:rFonts w:ascii="宋体" w:eastAsia="宋体"/>
    </w:rPr>
  </w:style>
  <w:style w:type="paragraph" w:customStyle="1" w:styleId="224">
    <w:name w:val="标准文件_引言三级无标题"/>
    <w:basedOn w:val="208"/>
    <w:next w:val="62"/>
    <w:qFormat/>
    <w:uiPriority w:val="0"/>
    <w:pPr>
      <w:spacing w:beforeLines="0" w:afterLines="0" w:line="276" w:lineRule="auto"/>
    </w:pPr>
    <w:rPr>
      <w:rFonts w:ascii="宋体" w:eastAsia="宋体"/>
    </w:rPr>
  </w:style>
  <w:style w:type="paragraph" w:customStyle="1" w:styleId="225">
    <w:name w:val="标准文件_引言四级无标题"/>
    <w:basedOn w:val="209"/>
    <w:next w:val="62"/>
    <w:qFormat/>
    <w:uiPriority w:val="0"/>
    <w:pPr>
      <w:spacing w:beforeLines="0" w:afterLines="0" w:line="276" w:lineRule="auto"/>
    </w:pPr>
    <w:rPr>
      <w:rFonts w:ascii="宋体" w:eastAsia="宋体"/>
    </w:rPr>
  </w:style>
  <w:style w:type="paragraph" w:customStyle="1" w:styleId="226">
    <w:name w:val="标准文件_引言五级无标题"/>
    <w:basedOn w:val="210"/>
    <w:next w:val="62"/>
    <w:qFormat/>
    <w:uiPriority w:val="0"/>
    <w:pPr>
      <w:spacing w:beforeLines="0" w:afterLines="0" w:line="276" w:lineRule="auto"/>
    </w:pPr>
    <w:rPr>
      <w:rFonts w:ascii="宋体" w:eastAsia="宋体"/>
    </w:rPr>
  </w:style>
  <w:style w:type="paragraph" w:customStyle="1" w:styleId="227">
    <w:name w:val="标准文件_索引标题"/>
    <w:basedOn w:val="69"/>
    <w:next w:val="62"/>
    <w:qFormat/>
    <w:uiPriority w:val="0"/>
    <w:rPr>
      <w:rFonts w:hAnsi="黑体"/>
    </w:rPr>
  </w:style>
  <w:style w:type="paragraph" w:customStyle="1" w:styleId="228">
    <w:name w:val="标准文件_脚注内容"/>
    <w:basedOn w:val="62"/>
    <w:qFormat/>
    <w:uiPriority w:val="0"/>
    <w:pPr>
      <w:ind w:left="400" w:leftChars="200" w:hanging="200" w:hangingChars="200"/>
    </w:pPr>
    <w:rPr>
      <w:sz w:val="15"/>
    </w:rPr>
  </w:style>
  <w:style w:type="paragraph" w:customStyle="1" w:styleId="229">
    <w:name w:val="标准文件_术语条一"/>
    <w:basedOn w:val="168"/>
    <w:next w:val="62"/>
    <w:qFormat/>
    <w:uiPriority w:val="0"/>
  </w:style>
  <w:style w:type="paragraph" w:customStyle="1" w:styleId="230">
    <w:name w:val="标准文件_术语条二"/>
    <w:basedOn w:val="171"/>
    <w:next w:val="62"/>
    <w:qFormat/>
    <w:uiPriority w:val="0"/>
  </w:style>
  <w:style w:type="paragraph" w:customStyle="1" w:styleId="231">
    <w:name w:val="标准文件_术语条三"/>
    <w:basedOn w:val="170"/>
    <w:next w:val="62"/>
    <w:qFormat/>
    <w:uiPriority w:val="0"/>
  </w:style>
  <w:style w:type="paragraph" w:customStyle="1" w:styleId="232">
    <w:name w:val="标准文件_术语条四"/>
    <w:basedOn w:val="173"/>
    <w:next w:val="62"/>
    <w:qFormat/>
    <w:uiPriority w:val="0"/>
  </w:style>
  <w:style w:type="paragraph" w:customStyle="1" w:styleId="233">
    <w:name w:val="标准文件_术语条五"/>
    <w:basedOn w:val="169"/>
    <w:next w:val="62"/>
    <w:qFormat/>
    <w:uiPriority w:val="0"/>
  </w:style>
  <w:style w:type="paragraph" w:customStyle="1" w:styleId="2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5">
    <w:name w:val="发布"/>
    <w:basedOn w:val="33"/>
    <w:qFormat/>
    <w:uiPriority w:val="0"/>
    <w:rPr>
      <w:rFonts w:ascii="黑体" w:eastAsia="黑体"/>
      <w:spacing w:val="85"/>
      <w:w w:val="100"/>
      <w:position w:val="3"/>
      <w:sz w:val="28"/>
      <w:szCs w:val="28"/>
    </w:rPr>
  </w:style>
  <w:style w:type="character" w:customStyle="1" w:styleId="236">
    <w:name w:val="段 Char"/>
    <w:link w:val="237"/>
    <w:qFormat/>
    <w:uiPriority w:val="0"/>
    <w:rPr>
      <w:rFonts w:ascii="宋体"/>
      <w:sz w:val="21"/>
    </w:rPr>
  </w:style>
  <w:style w:type="paragraph" w:customStyle="1" w:styleId="237">
    <w:name w:val="段"/>
    <w:link w:val="236"/>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 w:type="character" w:customStyle="1" w:styleId="238">
    <w:name w:val="批注文字 字符1"/>
    <w:link w:val="13"/>
    <w:qFormat/>
    <w:uiPriority w:val="0"/>
    <w:rPr>
      <w:kern w:val="2"/>
      <w:sz w:val="21"/>
      <w:szCs w:val="24"/>
    </w:rPr>
  </w:style>
  <w:style w:type="character" w:customStyle="1" w:styleId="239">
    <w:name w:val="批注文字 字符"/>
    <w:basedOn w:val="33"/>
    <w:semiHidden/>
    <w:qFormat/>
    <w:uiPriority w:val="99"/>
    <w:rPr>
      <w:kern w:val="2"/>
      <w:sz w:val="21"/>
      <w:szCs w:val="21"/>
    </w:rPr>
  </w:style>
  <w:style w:type="character" w:customStyle="1" w:styleId="240">
    <w:name w:val="en-code"/>
    <w:basedOn w:val="33"/>
    <w:qFormat/>
    <w:uiPriority w:val="0"/>
  </w:style>
  <w:style w:type="paragraph" w:customStyle="1" w:styleId="241">
    <w:name w:val="一级条标题"/>
    <w:next w:val="237"/>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242">
    <w:name w:val="四级条标题"/>
    <w:basedOn w:val="1"/>
    <w:next w:val="237"/>
    <w:qFormat/>
    <w:uiPriority w:val="0"/>
    <w:pPr>
      <w:widowControl/>
      <w:numPr>
        <w:ilvl w:val="4"/>
        <w:numId w:val="32"/>
      </w:numPr>
      <w:adjustRightInd/>
      <w:spacing w:beforeLines="50" w:afterLines="50" w:line="240" w:lineRule="auto"/>
      <w:jc w:val="left"/>
      <w:outlineLvl w:val="5"/>
    </w:pPr>
    <w:rPr>
      <w:rFonts w:ascii="黑体" w:hAnsi="Times New Roman" w:eastAsia="黑体"/>
      <w:kern w:val="0"/>
    </w:rPr>
  </w:style>
  <w:style w:type="paragraph" w:customStyle="1" w:styleId="243">
    <w:name w:val="章标题"/>
    <w:next w:val="237"/>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244">
    <w:name w:val="三级条标题"/>
    <w:basedOn w:val="1"/>
    <w:next w:val="237"/>
    <w:qFormat/>
    <w:uiPriority w:val="0"/>
    <w:pPr>
      <w:widowControl/>
      <w:adjustRightInd/>
      <w:spacing w:beforeLines="50" w:afterLines="50" w:line="240" w:lineRule="auto"/>
      <w:jc w:val="left"/>
      <w:outlineLvl w:val="4"/>
    </w:pPr>
    <w:rPr>
      <w:rFonts w:ascii="黑体" w:hAnsi="Times New Roman" w:eastAsia="黑体"/>
      <w:kern w:val="0"/>
    </w:rPr>
  </w:style>
  <w:style w:type="paragraph" w:customStyle="1" w:styleId="245">
    <w:name w:val="字母编号列项（一级）"/>
    <w:qFormat/>
    <w:uiPriority w:val="0"/>
    <w:pPr>
      <w:tabs>
        <w:tab w:val="left" w:pos="840"/>
      </w:tabs>
      <w:ind w:left="839" w:hanging="419"/>
      <w:jc w:val="both"/>
    </w:pPr>
    <w:rPr>
      <w:rFonts w:ascii="宋体" w:hAnsi="Times New Roman" w:eastAsia="宋体" w:cs="Times New Roman"/>
      <w:sz w:val="21"/>
      <w:lang w:val="en-US" w:eastAsia="zh-CN" w:bidi="ar-SA"/>
    </w:rPr>
  </w:style>
  <w:style w:type="paragraph" w:customStyle="1" w:styleId="246">
    <w:name w:val="数字编号列项（二级）"/>
    <w:qFormat/>
    <w:uiPriority w:val="0"/>
    <w:pPr>
      <w:tabs>
        <w:tab w:val="left" w:pos="1260"/>
      </w:tabs>
      <w:ind w:left="1259" w:hanging="419"/>
      <w:jc w:val="both"/>
    </w:pPr>
    <w:rPr>
      <w:rFonts w:ascii="宋体" w:hAnsi="Times New Roman" w:eastAsia="宋体" w:cs="Times New Roman"/>
      <w:sz w:val="21"/>
      <w:lang w:val="en-US" w:eastAsia="zh-CN" w:bidi="ar-SA"/>
    </w:rPr>
  </w:style>
  <w:style w:type="paragraph" w:customStyle="1" w:styleId="247">
    <w:name w:val="附录表标号"/>
    <w:basedOn w:val="1"/>
    <w:next w:val="237"/>
    <w:qFormat/>
    <w:uiPriority w:val="0"/>
    <w:pPr>
      <w:adjustRightInd/>
      <w:spacing w:line="14" w:lineRule="exact"/>
      <w:ind w:left="811" w:hanging="448"/>
      <w:jc w:val="center"/>
      <w:outlineLvl w:val="0"/>
    </w:pPr>
    <w:rPr>
      <w:rFonts w:ascii="Times New Roman" w:hAnsi="Times New Roman"/>
      <w:color w:val="FFFFFF"/>
    </w:rPr>
  </w:style>
  <w:style w:type="character" w:customStyle="1" w:styleId="248">
    <w:name w:val="HTML 预设格式 字符1"/>
    <w:link w:val="27"/>
    <w:qFormat/>
    <w:uiPriority w:val="0"/>
    <w:rPr>
      <w:rFonts w:ascii="宋体" w:hAnsi="宋体" w:cs="宋体"/>
      <w:sz w:val="24"/>
      <w:szCs w:val="24"/>
    </w:rPr>
  </w:style>
  <w:style w:type="character" w:customStyle="1" w:styleId="249">
    <w:name w:val="HTML 预设格式 字符"/>
    <w:basedOn w:val="33"/>
    <w:semiHidden/>
    <w:qFormat/>
    <w:uiPriority w:val="99"/>
    <w:rPr>
      <w:rFonts w:ascii="Courier New" w:hAnsi="Courier New" w:cs="Courier New"/>
      <w:kern w:val="2"/>
    </w:rPr>
  </w:style>
  <w:style w:type="character" w:customStyle="1" w:styleId="250">
    <w:name w:val="批注框文本 Char"/>
    <w:qFormat/>
    <w:uiPriority w:val="0"/>
    <w:rPr>
      <w:kern w:val="2"/>
      <w:sz w:val="18"/>
      <w:szCs w:val="18"/>
    </w:rPr>
  </w:style>
  <w:style w:type="paragraph" w:styleId="251">
    <w:name w:val="List Paragraph"/>
    <w:basedOn w:val="1"/>
    <w:qFormat/>
    <w:uiPriority w:val="99"/>
    <w:pPr>
      <w:adjustRightInd/>
      <w:spacing w:line="240" w:lineRule="auto"/>
      <w:ind w:firstLine="420" w:firstLineChars="200"/>
    </w:pPr>
    <w:rPr>
      <w:szCs w:val="24"/>
    </w:rPr>
  </w:style>
  <w:style w:type="character" w:customStyle="1" w:styleId="252">
    <w:name w:val="批注文字 Char"/>
    <w:qFormat/>
    <w:uiPriority w:val="0"/>
    <w:rPr>
      <w:kern w:val="2"/>
      <w:sz w:val="21"/>
      <w:szCs w:val="24"/>
    </w:rPr>
  </w:style>
  <w:style w:type="paragraph" w:customStyle="1" w:styleId="253">
    <w:name w:val="样式 左1"/>
    <w:basedOn w:val="1"/>
    <w:qFormat/>
    <w:uiPriority w:val="0"/>
    <w:pPr>
      <w:adjustRightInd/>
      <w:spacing w:line="240" w:lineRule="auto"/>
      <w:jc w:val="left"/>
    </w:pPr>
    <w:rPr>
      <w:rFonts w:cs="宋体"/>
      <w:szCs w:val="20"/>
    </w:rPr>
  </w:style>
  <w:style w:type="character" w:customStyle="1" w:styleId="254">
    <w:name w:val="批注主题 字符"/>
    <w:basedOn w:val="238"/>
    <w:link w:val="30"/>
    <w:semiHidden/>
    <w:qFormat/>
    <w:uiPriority w:val="99"/>
    <w:rPr>
      <w:b/>
      <w:bCs/>
      <w:kern w:val="2"/>
      <w:sz w:val="21"/>
      <w:szCs w:val="21"/>
    </w:rPr>
  </w:style>
  <w:style w:type="paragraph" w:customStyle="1" w:styleId="255">
    <w:name w:val="修订1"/>
    <w:hidden/>
    <w:semiHidden/>
    <w:qFormat/>
    <w:uiPriority w:val="99"/>
    <w:rPr>
      <w:rFonts w:ascii="Calibri" w:hAnsi="Calibri" w:eastAsia="宋体" w:cs="Times New Roman"/>
      <w:kern w:val="2"/>
      <w:sz w:val="21"/>
      <w:szCs w:val="21"/>
      <w:lang w:val="en-US" w:eastAsia="zh-CN" w:bidi="ar-SA"/>
    </w:rPr>
  </w:style>
  <w:style w:type="table" w:customStyle="1" w:styleId="256">
    <w:name w:val="Table Normal"/>
    <w:semiHidden/>
    <w:unhideWhenUsed/>
    <w:qFormat/>
    <w:uiPriority w:val="0"/>
    <w:tblPr>
      <w:tblCellMar>
        <w:top w:w="0" w:type="dxa"/>
        <w:left w:w="0" w:type="dxa"/>
        <w:bottom w:w="0" w:type="dxa"/>
        <w:right w:w="0" w:type="dxa"/>
      </w:tblCellMar>
    </w:tblPr>
  </w:style>
  <w:style w:type="paragraph" w:customStyle="1" w:styleId="257">
    <w:name w:val="Table Text"/>
    <w:basedOn w:val="1"/>
    <w:semiHidden/>
    <w:qFormat/>
    <w:uiPriority w:val="0"/>
    <w:rPr>
      <w:rFonts w:ascii="Arial" w:hAnsi="Arial" w:eastAsia="Arial" w:cs="Arial"/>
      <w:lang w:eastAsia="en-US"/>
    </w:rPr>
  </w:style>
  <w:style w:type="character" w:customStyle="1" w:styleId="258">
    <w:name w:val="font21"/>
    <w:basedOn w:val="33"/>
    <w:qFormat/>
    <w:uiPriority w:val="0"/>
    <w:rPr>
      <w:rFonts w:hint="default" w:ascii="Times New Roman" w:hAnsi="Times New Roman" w:cs="Times New Roman"/>
      <w:color w:val="000000"/>
      <w:sz w:val="24"/>
      <w:szCs w:val="24"/>
      <w:u w:val="none"/>
    </w:rPr>
  </w:style>
  <w:style w:type="character" w:customStyle="1" w:styleId="259">
    <w:name w:val="font31"/>
    <w:basedOn w:val="33"/>
    <w:qFormat/>
    <w:uiPriority w:val="0"/>
    <w:rPr>
      <w:rFonts w:hint="default" w:ascii="Times New Roman" w:hAnsi="Times New Roman" w:cs="Times New Roman"/>
      <w:color w:val="000000"/>
      <w:sz w:val="24"/>
      <w:szCs w:val="24"/>
      <w:u w:val="none"/>
      <w:vertAlign w:val="subscript"/>
    </w:rPr>
  </w:style>
  <w:style w:type="character" w:customStyle="1" w:styleId="260">
    <w:name w:val="font11"/>
    <w:basedOn w:val="33"/>
    <w:qFormat/>
    <w:uiPriority w:val="0"/>
    <w:rPr>
      <w:rFonts w:hint="eastAsia" w:ascii="宋体" w:hAnsi="宋体" w:eastAsia="宋体" w:cs="宋体"/>
      <w:color w:val="000000"/>
      <w:sz w:val="24"/>
      <w:szCs w:val="24"/>
      <w:u w:val="none"/>
    </w:rPr>
  </w:style>
  <w:style w:type="character" w:customStyle="1" w:styleId="261">
    <w:name w:val="font41"/>
    <w:basedOn w:val="33"/>
    <w:qFormat/>
    <w:uiPriority w:val="0"/>
    <w:rPr>
      <w:rFonts w:hint="default" w:ascii="Times New Roman" w:hAnsi="Times New Roman" w:cs="Times New Roman"/>
      <w:color w:val="000000"/>
      <w:sz w:val="20"/>
      <w:szCs w:val="20"/>
      <w:u w:val="none"/>
      <w:vertAlign w:val="subscript"/>
    </w:rPr>
  </w:style>
  <w:style w:type="paragraph" w:customStyle="1" w:styleId="262">
    <w:name w:val="WPSOffice手动目录 1"/>
    <w:qFormat/>
    <w:uiPriority w:val="0"/>
    <w:rPr>
      <w:rFonts w:ascii="Times New Roman" w:hAnsi="Times New Roman" w:eastAsia="宋体" w:cs="Times New Roman"/>
      <w:lang w:val="en-US" w:eastAsia="zh-CN" w:bidi="ar-SA"/>
    </w:rPr>
  </w:style>
  <w:style w:type="character" w:customStyle="1" w:styleId="263">
    <w:name w:val="标准文件_图表脚注 Char"/>
    <w:link w:val="107"/>
    <w:qFormat/>
    <w:uiPriority w:val="0"/>
    <w:rPr>
      <w:rFonts w:ascii="宋体" w:hAnsi="宋体"/>
      <w:sz w:val="18"/>
    </w:rPr>
  </w:style>
  <w:style w:type="paragraph" w:customStyle="1" w:styleId="264">
    <w:name w:val="注：（正文）"/>
    <w:basedOn w:val="1"/>
    <w:next w:val="1"/>
    <w:qFormat/>
    <w:uiPriority w:val="0"/>
    <w:pPr>
      <w:numPr>
        <w:ilvl w:val="0"/>
        <w:numId w:val="33"/>
      </w:numPr>
      <w:autoSpaceDE w:val="0"/>
      <w:autoSpaceDN w:val="0"/>
      <w:adjustRightInd/>
      <w:spacing w:line="240" w:lineRule="auto"/>
    </w:pPr>
    <w:rPr>
      <w:rFonts w:ascii="宋体" w:hAnsi="Times New Roman"/>
      <w:kern w:val="0"/>
      <w:sz w:val="18"/>
      <w:szCs w:val="18"/>
    </w:rPr>
  </w:style>
  <w:style w:type="paragraph" w:customStyle="1" w:styleId="265">
    <w:name w:val="ordinary-output"/>
    <w:basedOn w:val="1"/>
    <w:qFormat/>
    <w:uiPriority w:val="0"/>
    <w:pPr>
      <w:widowControl/>
      <w:spacing w:before="100" w:beforeAutospacing="1" w:after="63" w:line="275" w:lineRule="atLeast"/>
      <w:jc w:val="left"/>
    </w:pPr>
    <w:rPr>
      <w:rFonts w:ascii="宋体" w:hAnsi="宋体" w:cs="宋体"/>
      <w:color w:val="333333"/>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glossaryDocument" Target="glossary/document.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ACE2E07A64A4668BC51FC6904E747C9"/>
        <w:style w:val=""/>
        <w:category>
          <w:name w:val="常规"/>
          <w:gallery w:val="placeholder"/>
        </w:category>
        <w:types>
          <w:type w:val="bbPlcHdr"/>
        </w:types>
        <w:behaviors>
          <w:behavior w:val="content"/>
        </w:behaviors>
        <w:description w:val=""/>
        <w:guid w:val="{4D6BC6BA-434C-42B9-9C14-85C027E54332}"/>
      </w:docPartPr>
      <w:docPartBody>
        <w:p>
          <w:pPr>
            <w:pStyle w:val="5"/>
            <w:rPr>
              <w:rFonts w:hint="eastAsia"/>
            </w:rPr>
          </w:pPr>
          <w:r>
            <w:rPr>
              <w:rStyle w:val="4"/>
              <w:rFonts w:hint="eastAsia"/>
            </w:rPr>
            <w:t>单击或点击此处输入文字。</w:t>
          </w:r>
        </w:p>
      </w:docPartBody>
    </w:docPart>
    <w:docPart>
      <w:docPartPr>
        <w:name w:val="{fe5e0586-4ce2-43e4-a2e5-803c4e0f2c44}"/>
        <w:style w:val=""/>
        <w:category>
          <w:name w:val="常规"/>
          <w:gallery w:val="placeholder"/>
        </w:category>
        <w:types>
          <w:type w:val="bbPlcHdr"/>
        </w:types>
        <w:behaviors>
          <w:behavior w:val="content"/>
        </w:behaviors>
        <w:description w:val=""/>
        <w:guid w:val="{FE5E0586-4CE2-43E4-A2E5-803C4E0F2C44}"/>
      </w:docPartPr>
      <w:docPartBody>
        <w:p>
          <w:pPr>
            <w:pStyle w:val="6"/>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6D1"/>
    <w:rsid w:val="00015604"/>
    <w:rsid w:val="0002339B"/>
    <w:rsid w:val="0003705F"/>
    <w:rsid w:val="000448D4"/>
    <w:rsid w:val="0006704E"/>
    <w:rsid w:val="000870E9"/>
    <w:rsid w:val="000A7D46"/>
    <w:rsid w:val="000C5B28"/>
    <w:rsid w:val="000C5D20"/>
    <w:rsid w:val="000E4848"/>
    <w:rsid w:val="00141EFA"/>
    <w:rsid w:val="001443AE"/>
    <w:rsid w:val="001F7D1B"/>
    <w:rsid w:val="00240ABC"/>
    <w:rsid w:val="00244D2A"/>
    <w:rsid w:val="002A6F89"/>
    <w:rsid w:val="002A70F0"/>
    <w:rsid w:val="002D035A"/>
    <w:rsid w:val="002D26BA"/>
    <w:rsid w:val="002E1786"/>
    <w:rsid w:val="00302B7A"/>
    <w:rsid w:val="003108DB"/>
    <w:rsid w:val="003167A0"/>
    <w:rsid w:val="00324121"/>
    <w:rsid w:val="00381017"/>
    <w:rsid w:val="0039257A"/>
    <w:rsid w:val="003A2111"/>
    <w:rsid w:val="003A4B77"/>
    <w:rsid w:val="003C5082"/>
    <w:rsid w:val="003F3724"/>
    <w:rsid w:val="00417C78"/>
    <w:rsid w:val="004440A8"/>
    <w:rsid w:val="00494A47"/>
    <w:rsid w:val="004A0FA9"/>
    <w:rsid w:val="004A7AC1"/>
    <w:rsid w:val="004E41C5"/>
    <w:rsid w:val="004F6C71"/>
    <w:rsid w:val="004F70CA"/>
    <w:rsid w:val="004F7AA3"/>
    <w:rsid w:val="00501915"/>
    <w:rsid w:val="00514B3E"/>
    <w:rsid w:val="00517D26"/>
    <w:rsid w:val="00527643"/>
    <w:rsid w:val="00547921"/>
    <w:rsid w:val="00570F86"/>
    <w:rsid w:val="00580744"/>
    <w:rsid w:val="005A03A5"/>
    <w:rsid w:val="005A608C"/>
    <w:rsid w:val="005C0D53"/>
    <w:rsid w:val="005C20B4"/>
    <w:rsid w:val="005C40A3"/>
    <w:rsid w:val="005C5C88"/>
    <w:rsid w:val="005C5E04"/>
    <w:rsid w:val="00606663"/>
    <w:rsid w:val="00615505"/>
    <w:rsid w:val="00624252"/>
    <w:rsid w:val="00633F2B"/>
    <w:rsid w:val="0065274E"/>
    <w:rsid w:val="00654151"/>
    <w:rsid w:val="00654D82"/>
    <w:rsid w:val="006577A7"/>
    <w:rsid w:val="0066610A"/>
    <w:rsid w:val="0069049A"/>
    <w:rsid w:val="00692E27"/>
    <w:rsid w:val="006C190B"/>
    <w:rsid w:val="006F29FD"/>
    <w:rsid w:val="00717773"/>
    <w:rsid w:val="0075742A"/>
    <w:rsid w:val="00761A27"/>
    <w:rsid w:val="00762AE7"/>
    <w:rsid w:val="00763D28"/>
    <w:rsid w:val="007656CB"/>
    <w:rsid w:val="007A0554"/>
    <w:rsid w:val="007A399A"/>
    <w:rsid w:val="007E21B6"/>
    <w:rsid w:val="00800BA3"/>
    <w:rsid w:val="008125EF"/>
    <w:rsid w:val="00843449"/>
    <w:rsid w:val="008449A4"/>
    <w:rsid w:val="00864A46"/>
    <w:rsid w:val="00882CFB"/>
    <w:rsid w:val="008857DE"/>
    <w:rsid w:val="008B6D0D"/>
    <w:rsid w:val="00921BAE"/>
    <w:rsid w:val="009241E6"/>
    <w:rsid w:val="00955521"/>
    <w:rsid w:val="009624CA"/>
    <w:rsid w:val="00994B33"/>
    <w:rsid w:val="009B3AAE"/>
    <w:rsid w:val="009C1BF7"/>
    <w:rsid w:val="009D7F76"/>
    <w:rsid w:val="00A04193"/>
    <w:rsid w:val="00A36A16"/>
    <w:rsid w:val="00A45D5E"/>
    <w:rsid w:val="00A53418"/>
    <w:rsid w:val="00A73F5A"/>
    <w:rsid w:val="00AB495A"/>
    <w:rsid w:val="00AC153C"/>
    <w:rsid w:val="00B66B91"/>
    <w:rsid w:val="00B709CF"/>
    <w:rsid w:val="00B75A21"/>
    <w:rsid w:val="00B75E99"/>
    <w:rsid w:val="00BA3F76"/>
    <w:rsid w:val="00BB4E24"/>
    <w:rsid w:val="00BE10E4"/>
    <w:rsid w:val="00BE58C4"/>
    <w:rsid w:val="00BF5C37"/>
    <w:rsid w:val="00C026D1"/>
    <w:rsid w:val="00C17627"/>
    <w:rsid w:val="00C5278F"/>
    <w:rsid w:val="00C56254"/>
    <w:rsid w:val="00C57A48"/>
    <w:rsid w:val="00C6678F"/>
    <w:rsid w:val="00CA26B1"/>
    <w:rsid w:val="00CC08B6"/>
    <w:rsid w:val="00D10708"/>
    <w:rsid w:val="00D5351A"/>
    <w:rsid w:val="00D72BC2"/>
    <w:rsid w:val="00D868E0"/>
    <w:rsid w:val="00DB3F95"/>
    <w:rsid w:val="00DB7CD3"/>
    <w:rsid w:val="00DE0D3A"/>
    <w:rsid w:val="00E366D9"/>
    <w:rsid w:val="00E431D4"/>
    <w:rsid w:val="00E57E79"/>
    <w:rsid w:val="00E6165A"/>
    <w:rsid w:val="00E66D53"/>
    <w:rsid w:val="00EA367D"/>
    <w:rsid w:val="00EA39DC"/>
    <w:rsid w:val="00EB028F"/>
    <w:rsid w:val="00EB3FD3"/>
    <w:rsid w:val="00ED6E5D"/>
    <w:rsid w:val="00EF4E68"/>
    <w:rsid w:val="00F254A2"/>
    <w:rsid w:val="00F256D4"/>
    <w:rsid w:val="00F42870"/>
    <w:rsid w:val="00F511BC"/>
    <w:rsid w:val="00FB47C9"/>
    <w:rsid w:val="00FB544D"/>
    <w:rsid w:val="00FC387C"/>
    <w:rsid w:val="00FF44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9ACE2E07A64A4668BC51FC6904E747C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8EDD782B0A554986A46D582A31504B74"/>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A498F9-3ED4-4DEA-B1A4-8FCEEA16B8FB}">
  <ds:schemaRefs/>
</ds:datastoreItem>
</file>

<file path=docProps/app.xml><?xml version="1.0" encoding="utf-8"?>
<Properties xmlns="http://schemas.openxmlformats.org/officeDocument/2006/extended-properties" xmlns:vt="http://schemas.openxmlformats.org/officeDocument/2006/docPropsVTypes">
  <Template>行业标准.dotx</Template>
  <Company>PCMI</Company>
  <Pages>22</Pages>
  <Words>1848</Words>
  <Characters>10688</Characters>
  <Lines>164</Lines>
  <Paragraphs>38</Paragraphs>
  <TotalTime>2</TotalTime>
  <ScaleCrop>false</ScaleCrop>
  <LinksUpToDate>false</LinksUpToDate>
  <CharactersWithSpaces>12498</CharactersWithSpaces>
  <Application>WPS Office_11.8.0.16970_F1E327BC-269C-435d-A152-05C5408002CA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2025-08-21T03:06:00Z</dcterms:created>
  <dc:creator>孙冉</dc:creator>
  <dc:description>&lt;config cover="true" show_menu="true" version="1.0.0" doctype="SDKXY"&gt;_x000d_
&lt;/config&gt;</dc:description>
  <cp:lastModifiedBy>刘红</cp:lastModifiedBy>
  <cp:lastPrinted>2022-04-21T07:44:00Z</cp:lastPrinted>
  <dcterms:modified xsi:type="dcterms:W3CDTF">2025-12-31T07:25:31Z</dcterms:modified>
  <dc:title>行业标准</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2052-11.8.0.16970</vt:lpwstr>
  </property>
  <property fmtid="{D5CDD505-2E9C-101B-9397-08002B2CF9AE}" pid="15" name="ICV">
    <vt:lpwstr>DE43949CB39544DC99301350565DFA8A_13</vt:lpwstr>
  </property>
</Properties>
</file>