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0" w:firstLineChars="0"/>
        <w:jc w:val="left"/>
        <w:rPr>
          <w:rFonts w:ascii="Calibri" w:hAnsi="Calibri" w:cs="Times New Roman"/>
          <w:b/>
          <w:sz w:val="44"/>
          <w:szCs w:val="44"/>
        </w:rPr>
      </w:pPr>
      <w:bookmarkStart w:id="0" w:name="_Hlk201499547"/>
      <w:bookmarkStart w:id="1" w:name="_Hlk213256743"/>
      <w:r>
        <w:rPr>
          <w:rFonts w:eastAsia="黑体"/>
        </w:rPr>
        <w:drawing>
          <wp:anchor distT="0" distB="0" distL="114300" distR="114300" simplePos="0" relativeHeight="251664384" behindDoc="0" locked="0" layoutInCell="1" allowOverlap="1">
            <wp:simplePos x="0" y="0"/>
            <wp:positionH relativeFrom="column">
              <wp:posOffset>175895</wp:posOffset>
            </wp:positionH>
            <wp:positionV relativeFrom="paragraph">
              <wp:posOffset>-206375</wp:posOffset>
            </wp:positionV>
            <wp:extent cx="1391285" cy="891540"/>
            <wp:effectExtent l="0" t="0" r="0" b="3810"/>
            <wp:wrapNone/>
            <wp:docPr id="7" name="图片 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true" noChangeArrowheads="true"/>
                    </pic:cNvPicPr>
                  </pic:nvPicPr>
                  <pic:blipFill>
                    <a:blip r:embed="rId26">
                      <a:extLst>
                        <a:ext uri="{28A0092B-C50C-407E-A947-70E740481C1C}">
                          <a14:useLocalDpi xmlns:a14="http://schemas.microsoft.com/office/drawing/2010/main" val="false"/>
                        </a:ext>
                      </a:extLst>
                    </a:blip>
                    <a:srcRect/>
                    <a:stretch>
                      <a:fillRect/>
                    </a:stretch>
                  </pic:blipFill>
                  <pic:spPr>
                    <a:xfrm>
                      <a:off x="0" y="0"/>
                      <a:ext cx="1391479" cy="891777"/>
                    </a:xfrm>
                    <a:prstGeom prst="rect">
                      <a:avLst/>
                    </a:prstGeom>
                    <a:noFill/>
                    <a:ln>
                      <a:noFill/>
                    </a:ln>
                  </pic:spPr>
                </pic:pic>
              </a:graphicData>
            </a:graphic>
          </wp:anchor>
        </w:drawing>
      </w:r>
    </w:p>
    <w:p>
      <w:pPr>
        <w:spacing w:line="240" w:lineRule="auto"/>
        <w:ind w:firstLine="0" w:firstLineChars="0"/>
        <w:jc w:val="right"/>
        <w:rPr>
          <w:rFonts w:cs="Times New Roman"/>
          <w:b/>
          <w:sz w:val="32"/>
          <w:szCs w:val="32"/>
        </w:rPr>
      </w:pPr>
      <w:r>
        <w:rPr>
          <w:rFonts w:cs="Times New Roman"/>
          <w:b/>
          <w:sz w:val="32"/>
          <w:szCs w:val="32"/>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349885</wp:posOffset>
                </wp:positionV>
                <wp:extent cx="5250815" cy="36195"/>
                <wp:effectExtent l="0" t="0" r="26035" b="20955"/>
                <wp:wrapNone/>
                <wp:docPr id="1617301759" name="直接连接符 50"/>
                <wp:cNvGraphicFramePr/>
                <a:graphic xmlns:a="http://schemas.openxmlformats.org/drawingml/2006/main">
                  <a:graphicData uri="http://schemas.microsoft.com/office/word/2010/wordprocessingShape">
                    <wps:wsp>
                      <wps:cNvCnPr/>
                      <wps:spPr>
                        <a:xfrm>
                          <a:off x="0" y="0"/>
                          <a:ext cx="5251010" cy="36233"/>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50" o:spid="_x0000_s1026" o:spt="20" style="position:absolute;left:0pt;margin-top:27.55pt;height:2.85pt;width:413.45pt;mso-position-horizontal:right;mso-position-horizontal-relative:margin;z-index:251662336;mso-width-relative:page;mso-height-relative:page;" filled="f" stroked="t" coordsize="21600,21600" o:gfxdata="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FgAAAGRycy9QSwECFAAUAAAACACHTuJAaBtc9NcA&#10;AAAGAQAADwAAAAAAAAABACAAAAA4AAAAZHJzL2Rvd25yZXYueG1sUEsBAhQAFAAAAAgAh07iQPSj&#10;9gPRAQAAcgMAAA4AAAAAAAAAAQAgAAAAPAEAAGRycy9lMm9Eb2MueG1sUEsFBgAAAAAGAAYAWQEA&#10;AH8FAAAAAA==&#10;">
                <v:fill on="f" focussize="0,0"/>
                <v:stroke weight="1.5pt" color="#000000 [3213]" miterlimit="8" joinstyle="miter"/>
                <v:imagedata o:title=""/>
                <o:lock v:ext="edit" aspectratio="f"/>
              </v:line>
            </w:pict>
          </mc:Fallback>
        </mc:AlternateContent>
      </w:r>
      <w:r>
        <w:rPr>
          <w:rFonts w:cs="Times New Roman"/>
          <w:b/>
          <w:sz w:val="32"/>
          <w:szCs w:val="32"/>
        </w:rPr>
        <w:t>T/CECS ×××－202×</w:t>
      </w:r>
    </w:p>
    <w:p>
      <w:pPr>
        <w:spacing w:line="240" w:lineRule="auto"/>
        <w:ind w:firstLine="0" w:firstLineChars="0"/>
        <w:jc w:val="center"/>
        <w:rPr>
          <w:rFonts w:cs="Times New Roman"/>
          <w:b/>
          <w:sz w:val="32"/>
          <w:szCs w:val="32"/>
        </w:rPr>
      </w:pPr>
    </w:p>
    <w:p>
      <w:pPr>
        <w:spacing w:line="240" w:lineRule="auto"/>
        <w:ind w:firstLine="0" w:firstLineChars="0"/>
        <w:jc w:val="center"/>
        <w:rPr>
          <w:rFonts w:ascii="Calibri" w:hAnsi="Calibri" w:cs="Times New Roman"/>
          <w:b/>
          <w:sz w:val="32"/>
          <w:szCs w:val="32"/>
        </w:rPr>
      </w:pPr>
      <w:r>
        <w:rPr>
          <w:rFonts w:hint="eastAsia" w:ascii="Calibri" w:hAnsi="Calibri" w:cs="Times New Roman"/>
          <w:b/>
          <w:sz w:val="32"/>
          <w:szCs w:val="32"/>
        </w:rPr>
        <w:t>中国工程建设标准化协会标准</w:t>
      </w:r>
    </w:p>
    <w:p>
      <w:pPr>
        <w:spacing w:line="240" w:lineRule="auto"/>
        <w:ind w:firstLine="0" w:firstLineChars="0"/>
        <w:jc w:val="center"/>
        <w:rPr>
          <w:rFonts w:ascii="Calibri" w:hAnsi="Calibri" w:cs="Times New Roman"/>
          <w:b/>
          <w:sz w:val="44"/>
          <w:szCs w:val="44"/>
        </w:rPr>
      </w:pPr>
    </w:p>
    <w:p>
      <w:pPr>
        <w:spacing w:line="240" w:lineRule="auto"/>
        <w:ind w:firstLine="0" w:firstLineChars="0"/>
        <w:jc w:val="center"/>
        <w:rPr>
          <w:rFonts w:ascii="Calibri" w:hAnsi="Calibri" w:cs="Times New Roman"/>
          <w:b/>
          <w:sz w:val="44"/>
          <w:szCs w:val="52"/>
        </w:rPr>
      </w:pPr>
      <w:r>
        <w:rPr>
          <w:rFonts w:hint="eastAsia" w:ascii="Calibri" w:hAnsi="Calibri" w:cs="Times New Roman"/>
          <w:b/>
          <w:sz w:val="44"/>
          <w:szCs w:val="52"/>
        </w:rPr>
        <w:t>钢渣混凝土桩应用技术规程</w:t>
      </w:r>
    </w:p>
    <w:p>
      <w:pPr>
        <w:spacing w:line="240" w:lineRule="auto"/>
        <w:ind w:firstLine="0" w:firstLineChars="0"/>
        <w:jc w:val="center"/>
        <w:rPr>
          <w:rFonts w:cs="Times New Roman"/>
          <w:bCs/>
          <w:sz w:val="32"/>
          <w:szCs w:val="40"/>
        </w:rPr>
      </w:pPr>
      <w:r>
        <w:rPr>
          <w:rFonts w:cs="Times New Roman"/>
          <w:bCs/>
          <w:sz w:val="32"/>
          <w:szCs w:val="40"/>
        </w:rPr>
        <w:t>Technical Specification for Application of Steel Slag Concrete Piles</w:t>
      </w:r>
    </w:p>
    <w:p>
      <w:pPr>
        <w:spacing w:line="240" w:lineRule="auto"/>
        <w:ind w:firstLine="0" w:firstLineChars="0"/>
        <w:jc w:val="center"/>
        <w:rPr>
          <w:rFonts w:ascii="Calibri" w:hAnsi="Calibri" w:cs="Times New Roman"/>
          <w:sz w:val="36"/>
          <w:szCs w:val="22"/>
        </w:rPr>
      </w:pPr>
      <w:r>
        <w:rPr>
          <w:rFonts w:hint="eastAsia" w:ascii="Calibri" w:hAnsi="Calibri" w:cs="Times New Roman"/>
          <w:sz w:val="36"/>
          <w:szCs w:val="22"/>
        </w:rPr>
        <w:t>（征求意见稿）</w:t>
      </w:r>
    </w:p>
    <w:p>
      <w:pPr>
        <w:spacing w:line="240" w:lineRule="auto"/>
        <w:ind w:firstLine="0" w:firstLineChars="0"/>
        <w:jc w:val="center"/>
        <w:rPr>
          <w:rFonts w:ascii="Calibri" w:hAnsi="Calibri" w:cs="Times New Roman"/>
          <w:sz w:val="36"/>
          <w:szCs w:val="22"/>
        </w:rPr>
      </w:pPr>
    </w:p>
    <w:p>
      <w:pPr>
        <w:spacing w:line="240" w:lineRule="auto"/>
        <w:ind w:firstLine="0" w:firstLineChars="0"/>
        <w:jc w:val="center"/>
        <w:rPr>
          <w:rFonts w:ascii="Calibri" w:hAnsi="Calibri" w:cs="Times New Roman"/>
          <w:sz w:val="36"/>
          <w:szCs w:val="22"/>
        </w:rPr>
      </w:pPr>
    </w:p>
    <w:p>
      <w:pPr>
        <w:spacing w:line="240" w:lineRule="auto"/>
        <w:ind w:firstLine="0" w:firstLineChars="0"/>
        <w:jc w:val="center"/>
        <w:rPr>
          <w:rFonts w:ascii="Calibri" w:hAnsi="Calibri" w:cs="Times New Roman"/>
          <w:sz w:val="36"/>
          <w:szCs w:val="22"/>
        </w:rPr>
      </w:pPr>
    </w:p>
    <w:p>
      <w:pPr>
        <w:spacing w:line="240" w:lineRule="auto"/>
        <w:ind w:firstLine="0" w:firstLineChars="0"/>
        <w:jc w:val="center"/>
        <w:rPr>
          <w:rFonts w:ascii="Calibri" w:hAnsi="Calibri" w:cs="Times New Roman"/>
          <w:sz w:val="36"/>
          <w:szCs w:val="22"/>
        </w:rPr>
      </w:pPr>
    </w:p>
    <w:p>
      <w:pPr>
        <w:spacing w:line="240" w:lineRule="auto"/>
        <w:ind w:firstLine="0" w:firstLineChars="0"/>
        <w:jc w:val="center"/>
        <w:rPr>
          <w:rFonts w:ascii="Calibri" w:hAnsi="Calibri" w:cs="Times New Roman"/>
          <w:sz w:val="36"/>
          <w:szCs w:val="22"/>
        </w:rPr>
      </w:pPr>
    </w:p>
    <w:p>
      <w:pPr>
        <w:spacing w:line="240" w:lineRule="auto"/>
        <w:ind w:firstLine="0" w:firstLineChars="0"/>
        <w:jc w:val="center"/>
        <w:rPr>
          <w:rFonts w:ascii="Calibri" w:hAnsi="Calibri" w:cs="Times New Roman"/>
          <w:sz w:val="36"/>
          <w:szCs w:val="22"/>
        </w:rPr>
      </w:pPr>
    </w:p>
    <w:p>
      <w:pPr>
        <w:spacing w:line="240" w:lineRule="auto"/>
        <w:ind w:firstLine="0" w:firstLineChars="0"/>
        <w:jc w:val="center"/>
        <w:rPr>
          <w:rFonts w:ascii="Calibri" w:hAnsi="Calibri" w:cs="Times New Roman"/>
          <w:sz w:val="36"/>
          <w:szCs w:val="22"/>
        </w:rPr>
      </w:pPr>
    </w:p>
    <w:p>
      <w:pPr>
        <w:spacing w:line="240" w:lineRule="auto"/>
        <w:ind w:firstLine="0" w:firstLineChars="0"/>
        <w:jc w:val="center"/>
        <w:rPr>
          <w:rFonts w:ascii="Calibri" w:hAnsi="Calibri" w:cs="Times New Roman"/>
          <w:b/>
          <w:sz w:val="21"/>
        </w:rPr>
      </w:pPr>
    </w:p>
    <w:p>
      <w:pPr>
        <w:spacing w:line="240" w:lineRule="auto"/>
        <w:ind w:firstLine="0" w:firstLineChars="0"/>
        <w:jc w:val="center"/>
        <w:rPr>
          <w:rFonts w:ascii="Calibri" w:hAnsi="Calibri" w:cs="Times New Roman"/>
          <w:b/>
          <w:sz w:val="32"/>
          <w:szCs w:val="32"/>
        </w:rPr>
      </w:pPr>
      <w:r>
        <w:rPr>
          <w:rFonts w:hint="eastAsia" w:ascii="Calibri" w:hAnsi="Calibri" w:cs="Times New Roman"/>
          <w:b/>
          <w:sz w:val="32"/>
          <w:szCs w:val="32"/>
        </w:rPr>
        <w:t>中国计划出版社</w:t>
      </w:r>
    </w:p>
    <w:p>
      <w:pPr>
        <w:spacing w:line="240" w:lineRule="auto"/>
        <w:ind w:firstLine="0" w:firstLineChars="0"/>
        <w:jc w:val="center"/>
        <w:rPr>
          <w:rFonts w:ascii="Calibri" w:hAnsi="Calibri" w:cs="Times New Roman"/>
          <w:b/>
          <w:sz w:val="32"/>
          <w:szCs w:val="32"/>
        </w:rPr>
      </w:pPr>
    </w:p>
    <w:p>
      <w:pPr>
        <w:spacing w:line="240" w:lineRule="auto"/>
        <w:ind w:firstLine="0" w:firstLineChars="0"/>
        <w:jc w:val="center"/>
        <w:rPr>
          <w:rFonts w:ascii="Calibri" w:hAnsi="Calibri" w:cs="Times New Roman"/>
          <w:b/>
          <w:sz w:val="32"/>
          <w:szCs w:val="32"/>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pPr>
    </w:p>
    <w:p>
      <w:pPr>
        <w:spacing w:line="240" w:lineRule="auto"/>
        <w:ind w:firstLine="0" w:firstLineChars="0"/>
        <w:jc w:val="left"/>
        <w:rPr>
          <w:rFonts w:ascii="Calibri" w:hAnsi="Calibri" w:cs="Times New Roman"/>
          <w:b/>
          <w:sz w:val="44"/>
          <w:szCs w:val="44"/>
        </w:rPr>
      </w:pPr>
    </w:p>
    <w:p>
      <w:pPr>
        <w:spacing w:line="240" w:lineRule="auto"/>
        <w:ind w:firstLine="0" w:firstLineChars="0"/>
        <w:jc w:val="left"/>
        <w:rPr>
          <w:rFonts w:ascii="Calibri" w:hAnsi="Calibri" w:cs="Times New Roman"/>
          <w:b/>
          <w:sz w:val="44"/>
          <w:szCs w:val="44"/>
        </w:rPr>
      </w:pPr>
      <w:r>
        <w:rPr>
          <w:rFonts w:ascii="Calibri" w:hAnsi="Calibri" w:cs="Times New Roman"/>
          <w:b/>
          <w:sz w:val="44"/>
          <w:szCs w:val="44"/>
        </w:rPr>
        <w:fldChar w:fldCharType="begin">
          <w:fldData xml:space="preserve">ZQBKAHoAdABYAFEAOQAwAEgATQBWADUAMwA5AFcAZAA3AGsANQBqAFUAWQBzAEQAdQA2AG8ASQA0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</w:fldData>
        </w:fldChar>
      </w:r>
      <w:r>
        <w:rPr>
          <w:rFonts w:ascii="Calibri" w:hAnsi="Calibri" w:cs="Times New Roman"/>
          <w:b/>
          <w:sz w:val="44"/>
          <w:szCs w:val="44"/>
        </w:rPr>
        <w:instrText xml:space="preserve">ADDIN CNKISM.UserStyle</w:instrText>
      </w:r>
      <w:r>
        <w:rPr>
          <w:rFonts w:ascii="Calibri" w:hAnsi="Calibri" w:cs="Times New Roman"/>
          <w:b/>
          <w:sz w:val="44"/>
          <w:szCs w:val="44"/>
        </w:rPr>
        <w:fldChar w:fldCharType="end"/>
      </w:r>
    </w:p>
    <w:p>
      <w:pPr>
        <w:spacing w:line="240" w:lineRule="auto"/>
        <w:ind w:firstLine="0" w:firstLineChars="0"/>
        <w:jc w:val="center"/>
        <w:rPr>
          <w:rFonts w:ascii="Calibri" w:hAnsi="Calibri" w:cs="Times New Roman"/>
          <w:b/>
          <w:sz w:val="32"/>
          <w:szCs w:val="32"/>
        </w:rPr>
      </w:pPr>
      <w:r>
        <w:rPr>
          <w:rFonts w:ascii="Calibri" w:hAnsi="Calibri" w:cs="Times New Roman"/>
          <w:b/>
          <w:sz w:val="32"/>
          <w:szCs w:val="32"/>
        </w:rPr>
        <w:t>中国工程建设</w:t>
      </w:r>
      <w:r>
        <w:rPr>
          <w:rFonts w:hint="eastAsia" w:ascii="Calibri" w:hAnsi="Calibri" w:cs="Times New Roman"/>
          <w:b/>
          <w:sz w:val="32"/>
          <w:szCs w:val="32"/>
        </w:rPr>
        <w:t>标准化</w:t>
      </w:r>
      <w:r>
        <w:rPr>
          <w:rFonts w:ascii="Calibri" w:hAnsi="Calibri" w:cs="Times New Roman"/>
          <w:b/>
          <w:sz w:val="32"/>
          <w:szCs w:val="32"/>
        </w:rPr>
        <w:t>协会标准</w:t>
      </w:r>
    </w:p>
    <w:p>
      <w:pPr>
        <w:spacing w:line="240" w:lineRule="auto"/>
        <w:ind w:firstLine="0" w:firstLineChars="0"/>
        <w:jc w:val="center"/>
        <w:rPr>
          <w:rFonts w:ascii="Calibri" w:hAnsi="Calibri" w:cs="Times New Roman"/>
          <w:b/>
          <w:sz w:val="30"/>
          <w:szCs w:val="30"/>
        </w:rPr>
      </w:pPr>
    </w:p>
    <w:p>
      <w:pPr>
        <w:spacing w:line="240" w:lineRule="auto"/>
        <w:ind w:firstLine="0" w:firstLineChars="0"/>
        <w:jc w:val="center"/>
        <w:rPr>
          <w:rFonts w:ascii="Calibri" w:hAnsi="Calibri" w:cs="Times New Roman"/>
          <w:b/>
          <w:sz w:val="44"/>
          <w:szCs w:val="52"/>
        </w:rPr>
      </w:pPr>
      <w:bookmarkStart w:id="2" w:name="OLE_LINK1"/>
      <w:r>
        <w:rPr>
          <w:rFonts w:hint="eastAsia" w:ascii="Calibri" w:hAnsi="Calibri" w:cs="Times New Roman"/>
          <w:b/>
          <w:sz w:val="44"/>
          <w:szCs w:val="52"/>
        </w:rPr>
        <w:t>钢渣混凝土桩应用技术规程</w:t>
      </w:r>
      <w:bookmarkEnd w:id="2"/>
    </w:p>
    <w:p>
      <w:pPr>
        <w:spacing w:line="240" w:lineRule="auto"/>
        <w:ind w:firstLine="0" w:firstLineChars="0"/>
        <w:jc w:val="center"/>
        <w:rPr>
          <w:rFonts w:cs="Times New Roman"/>
          <w:bCs/>
          <w:sz w:val="32"/>
          <w:szCs w:val="40"/>
        </w:rPr>
      </w:pPr>
      <w:r>
        <w:rPr>
          <w:rFonts w:cs="Times New Roman"/>
          <w:bCs/>
          <w:sz w:val="32"/>
          <w:szCs w:val="40"/>
        </w:rPr>
        <w:t>Technical Specification for Application of Steel Slag Concrete Piles</w:t>
      </w:r>
    </w:p>
    <w:p>
      <w:pPr>
        <w:spacing w:line="240" w:lineRule="auto"/>
        <w:ind w:firstLine="0" w:firstLineChars="0"/>
        <w:jc w:val="center"/>
        <w:rPr>
          <w:rFonts w:ascii="Calibri" w:hAnsi="Calibri" w:cs="Times New Roman"/>
          <w:b/>
          <w:sz w:val="44"/>
          <w:szCs w:val="52"/>
        </w:rPr>
      </w:pPr>
    </w:p>
    <w:p>
      <w:pPr>
        <w:spacing w:line="240" w:lineRule="auto"/>
        <w:ind w:firstLine="0" w:firstLineChars="0"/>
        <w:jc w:val="center"/>
        <w:rPr>
          <w:rFonts w:cs="Times New Roman"/>
          <w:b/>
          <w:sz w:val="32"/>
          <w:szCs w:val="32"/>
        </w:rPr>
      </w:pPr>
      <w:r>
        <w:rPr>
          <w:rFonts w:cs="Times New Roman"/>
          <w:b/>
          <w:sz w:val="32"/>
          <w:szCs w:val="32"/>
        </w:rPr>
        <w:t>T/CECS ×××－202×</w:t>
      </w:r>
    </w:p>
    <w:p>
      <w:pPr>
        <w:spacing w:line="240" w:lineRule="auto"/>
        <w:ind w:firstLine="0" w:firstLineChars="0"/>
        <w:jc w:val="center"/>
        <w:rPr>
          <w:rFonts w:cs="Times New Roman"/>
          <w:b/>
          <w:sz w:val="32"/>
          <w:szCs w:val="32"/>
        </w:rPr>
      </w:pPr>
    </w:p>
    <w:p>
      <w:pPr>
        <w:spacing w:line="240" w:lineRule="auto"/>
        <w:ind w:firstLine="0" w:firstLineChars="0"/>
        <w:jc w:val="center"/>
        <w:rPr>
          <w:rFonts w:cs="Times New Roman"/>
          <w:b/>
          <w:sz w:val="32"/>
          <w:szCs w:val="32"/>
        </w:rPr>
      </w:pPr>
    </w:p>
    <w:p>
      <w:pPr>
        <w:spacing w:line="500" w:lineRule="exact"/>
        <w:ind w:firstLine="1920" w:firstLineChars="600"/>
        <w:rPr>
          <w:rFonts w:ascii="Calibri" w:hAnsi="Calibri" w:cs="Times New Roman"/>
          <w:sz w:val="32"/>
          <w:szCs w:val="32"/>
        </w:rPr>
      </w:pPr>
      <w:r>
        <w:rPr>
          <w:rFonts w:hint="eastAsia" w:ascii="Calibri" w:hAnsi="Calibri" w:cs="Times New Roman"/>
          <w:sz w:val="32"/>
        </w:rPr>
        <w:t>主编单位：</w:t>
      </w:r>
      <w:r>
        <w:rPr>
          <w:rFonts w:ascii="Calibri" w:hAnsi="Calibri" w:cs="Times New Roman"/>
          <w:sz w:val="32"/>
          <w:szCs w:val="32"/>
        </w:rPr>
        <w:t>中冀建勘集团有限公司</w:t>
      </w:r>
    </w:p>
    <w:p>
      <w:pPr>
        <w:spacing w:line="500" w:lineRule="exact"/>
        <w:ind w:firstLine="1920" w:firstLineChars="600"/>
        <w:rPr>
          <w:rFonts w:ascii="Calibri" w:hAnsi="Calibri" w:cs="Times New Roman"/>
          <w:sz w:val="32"/>
          <w:szCs w:val="32"/>
        </w:rPr>
      </w:pPr>
      <w:r>
        <w:rPr>
          <w:rFonts w:hint="eastAsia" w:ascii="Calibri" w:hAnsi="Calibri" w:cs="Times New Roman"/>
          <w:sz w:val="32"/>
          <w:szCs w:val="32"/>
        </w:rPr>
        <w:t xml:space="preserve">          </w:t>
      </w:r>
      <w:r>
        <w:rPr>
          <w:rFonts w:ascii="Calibri" w:hAnsi="Calibri" w:cs="Times New Roman"/>
          <w:sz w:val="32"/>
          <w:szCs w:val="32"/>
        </w:rPr>
        <w:t>石家庄铁道大学</w:t>
      </w:r>
    </w:p>
    <w:p>
      <w:pPr>
        <w:spacing w:line="240" w:lineRule="auto"/>
        <w:ind w:firstLine="1920" w:firstLineChars="600"/>
        <w:rPr>
          <w:rFonts w:ascii="Calibri" w:hAnsi="Calibri" w:cs="Times New Roman"/>
          <w:sz w:val="32"/>
        </w:rPr>
      </w:pPr>
      <w:r>
        <w:rPr>
          <w:rFonts w:hint="eastAsia" w:ascii="Calibri" w:hAnsi="Calibri" w:cs="Times New Roman"/>
          <w:sz w:val="32"/>
        </w:rPr>
        <w:t>批准单位：中国工程建设标准化协会</w:t>
      </w:r>
    </w:p>
    <w:p>
      <w:pPr>
        <w:spacing w:line="240" w:lineRule="auto"/>
        <w:ind w:firstLine="1920" w:firstLineChars="600"/>
        <w:rPr>
          <w:rFonts w:ascii="Calibri" w:hAnsi="Calibri" w:cs="Times New Roman"/>
          <w:sz w:val="32"/>
        </w:rPr>
      </w:pPr>
      <w:r>
        <w:rPr>
          <w:rFonts w:hint="eastAsia" w:ascii="Calibri" w:hAnsi="Calibri" w:cs="Times New Roman"/>
          <w:sz w:val="32"/>
        </w:rPr>
        <w:t>施行日期：</w:t>
      </w:r>
      <w:r>
        <w:rPr>
          <w:rFonts w:hint="eastAsia" w:cs="Times New Roman"/>
          <w:sz w:val="32"/>
        </w:rPr>
        <w:t>202×年××月1日</w:t>
      </w:r>
    </w:p>
    <w:p>
      <w:pPr>
        <w:spacing w:line="240" w:lineRule="auto"/>
        <w:ind w:firstLine="0" w:firstLineChars="0"/>
        <w:jc w:val="center"/>
        <w:rPr>
          <w:rFonts w:ascii="Calibri" w:hAnsi="Calibri" w:cs="Times New Roman"/>
          <w:sz w:val="32"/>
        </w:rPr>
      </w:pPr>
    </w:p>
    <w:p>
      <w:pPr>
        <w:spacing w:line="240" w:lineRule="auto"/>
        <w:ind w:firstLine="0" w:firstLineChars="0"/>
        <w:jc w:val="center"/>
        <w:rPr>
          <w:rFonts w:ascii="Calibri" w:hAnsi="Calibri" w:cs="Times New Roman"/>
          <w:sz w:val="32"/>
        </w:rPr>
      </w:pPr>
    </w:p>
    <w:p>
      <w:pPr>
        <w:spacing w:line="240" w:lineRule="auto"/>
        <w:ind w:firstLine="0" w:firstLineChars="0"/>
        <w:jc w:val="center"/>
        <w:rPr>
          <w:rFonts w:ascii="Calibri" w:hAnsi="Calibri" w:cs="Times New Roman"/>
          <w:sz w:val="32"/>
        </w:rPr>
      </w:pPr>
    </w:p>
    <w:p>
      <w:pPr>
        <w:spacing w:line="240" w:lineRule="auto"/>
        <w:ind w:firstLine="0" w:firstLineChars="0"/>
        <w:jc w:val="center"/>
        <w:rPr>
          <w:rFonts w:ascii="Calibri" w:hAnsi="Calibri" w:cs="Times New Roman"/>
          <w:sz w:val="32"/>
        </w:rPr>
      </w:pPr>
    </w:p>
    <w:p>
      <w:pPr>
        <w:spacing w:line="240" w:lineRule="auto"/>
        <w:ind w:firstLine="0" w:firstLineChars="0"/>
        <w:jc w:val="center"/>
        <w:rPr>
          <w:rFonts w:ascii="Calibri" w:hAnsi="Calibri" w:cs="Times New Roman"/>
          <w:b/>
          <w:sz w:val="32"/>
          <w:szCs w:val="32"/>
        </w:rPr>
      </w:pPr>
      <w:r>
        <w:rPr>
          <w:rFonts w:hint="eastAsia" w:ascii="Calibri" w:hAnsi="Calibri" w:cs="Times New Roman"/>
          <w:b/>
          <w:sz w:val="32"/>
          <w:szCs w:val="32"/>
        </w:rPr>
        <w:t>中国计划出版社</w:t>
      </w:r>
    </w:p>
    <w:p>
      <w:pPr>
        <w:spacing w:line="240" w:lineRule="auto"/>
        <w:ind w:firstLine="0" w:firstLineChars="0"/>
        <w:jc w:val="center"/>
        <w:rPr>
          <w:rFonts w:cs="Times New Roman"/>
          <w:b/>
          <w:bCs/>
          <w:sz w:val="32"/>
        </w:rPr>
      </w:pPr>
      <w:r>
        <w:rPr>
          <w:rFonts w:cs="Times New Roman"/>
          <w:b/>
          <w:bCs/>
          <w:sz w:val="32"/>
        </w:rPr>
        <w:t xml:space="preserve">20×× </w:t>
      </w:r>
      <w:r>
        <w:rPr>
          <w:rFonts w:hint="eastAsia" w:cs="Times New Roman"/>
          <w:b/>
          <w:bCs/>
          <w:sz w:val="32"/>
        </w:rPr>
        <w:t xml:space="preserve">  </w:t>
      </w:r>
      <w:r>
        <w:rPr>
          <w:rFonts w:cs="Times New Roman"/>
          <w:b/>
          <w:bCs/>
          <w:sz w:val="32"/>
        </w:rPr>
        <w:t xml:space="preserve">北 </w:t>
      </w:r>
      <w:r>
        <w:rPr>
          <w:rFonts w:hint="eastAsia" w:cs="Times New Roman"/>
          <w:b/>
          <w:bCs/>
          <w:sz w:val="32"/>
        </w:rPr>
        <w:t xml:space="preserve"> </w:t>
      </w:r>
      <w:r>
        <w:rPr>
          <w:rFonts w:cs="Times New Roman"/>
          <w:b/>
          <w:bCs/>
          <w:sz w:val="32"/>
        </w:rPr>
        <w:t>京</w:t>
      </w:r>
    </w:p>
    <w:bookmarkEnd w:id="0"/>
    <w:p>
      <w:pPr>
        <w:spacing w:line="240" w:lineRule="auto"/>
        <w:ind w:firstLine="0" w:firstLineChars="0"/>
        <w:jc w:val="center"/>
        <w:rPr>
          <w:rFonts w:ascii="Calibri" w:hAnsi="Calibri" w:cs="Times New Roman"/>
          <w:b/>
          <w:sz w:val="32"/>
          <w:szCs w:val="32"/>
        </w:rPr>
      </w:pPr>
    </w:p>
    <w:p>
      <w:pPr>
        <w:spacing w:line="240" w:lineRule="auto"/>
        <w:ind w:firstLine="0" w:firstLineChars="0"/>
        <w:jc w:val="center"/>
        <w:rPr>
          <w:rFonts w:ascii="Calibri" w:hAnsi="Calibri" w:cs="Times New Roman"/>
          <w:b/>
          <w:sz w:val="32"/>
          <w:szCs w:val="32"/>
        </w:rPr>
        <w:sectPr>
          <w:headerReference r:id="rId13" w:type="first"/>
          <w:footerReference r:id="rId16" w:type="first"/>
          <w:headerReference r:id="rId11" w:type="default"/>
          <w:footerReference r:id="rId14" w:type="default"/>
          <w:headerReference r:id="rId12" w:type="even"/>
          <w:footerReference r:id="rId15" w:type="even"/>
          <w:pgSz w:w="11906" w:h="16838"/>
          <w:pgMar w:top="1440" w:right="1800" w:bottom="1440" w:left="1800" w:header="851" w:footer="992" w:gutter="0"/>
          <w:cols w:space="425" w:num="1"/>
          <w:docGrid w:type="lines" w:linePitch="312" w:charSpace="0"/>
        </w:sectPr>
      </w:pPr>
    </w:p>
    <w:bookmarkEnd w:id="1"/>
    <w:p>
      <w:pPr>
        <w:spacing w:before="480" w:after="120" w:line="360" w:lineRule="auto"/>
        <w:ind w:firstLine="0" w:firstLineChars="0"/>
        <w:jc w:val="center"/>
        <w:rPr>
          <w:rFonts w:ascii="黑体" w:hAnsi="黑体" w:eastAsia="黑体"/>
          <w:sz w:val="32"/>
          <w:szCs w:val="24"/>
        </w:rPr>
      </w:pPr>
      <w:r>
        <w:rPr>
          <w:rFonts w:ascii="黑体" w:hAnsi="黑体" w:eastAsia="黑体"/>
          <w:sz w:val="32"/>
          <w:szCs w:val="24"/>
        </w:rPr>
        <w:t>前</w:t>
      </w:r>
      <w:r>
        <w:rPr>
          <w:rFonts w:hint="eastAsia" w:ascii="黑体" w:hAnsi="黑体" w:eastAsia="黑体"/>
          <w:sz w:val="32"/>
          <w:szCs w:val="24"/>
        </w:rPr>
        <w:t xml:space="preserve"> </w:t>
      </w:r>
      <w:r>
        <w:rPr>
          <w:rFonts w:ascii="黑体" w:hAnsi="黑体" w:eastAsia="黑体"/>
          <w:sz w:val="32"/>
          <w:szCs w:val="24"/>
        </w:rPr>
        <w:t xml:space="preserve"> 言</w:t>
      </w:r>
    </w:p>
    <w:p>
      <w:pPr>
        <w:snapToGrid w:val="0"/>
        <w:spacing w:line="360" w:lineRule="auto"/>
        <w:ind w:firstLine="480"/>
        <w:jc w:val="left"/>
        <w:rPr>
          <w:rFonts w:cs="Times New Roman"/>
          <w:szCs w:val="28"/>
        </w:rPr>
      </w:pPr>
      <w:r>
        <w:rPr>
          <w:rFonts w:cs="Times New Roman"/>
          <w:szCs w:val="28"/>
        </w:rPr>
        <w:t>根据中国工程建设标准化协会《关于印发&lt;2025年第一批协会标准制定、修订计划&gt;的通知》（建标协字[2025]20号）的要求，标准编制组经广泛调查研究，认真总结实践经验，参考相关国外和国内先进标准，并在广泛征求意见的基础上，制定了本标准。</w:t>
      </w:r>
    </w:p>
    <w:p>
      <w:pPr>
        <w:snapToGrid w:val="0"/>
        <w:spacing w:line="360" w:lineRule="auto"/>
        <w:ind w:firstLine="480"/>
        <w:jc w:val="left"/>
        <w:rPr>
          <w:rFonts w:cs="Times New Roman"/>
          <w:bCs/>
          <w:szCs w:val="22"/>
        </w:rPr>
      </w:pPr>
      <w:r>
        <w:rPr>
          <w:rFonts w:cs="Times New Roman"/>
          <w:szCs w:val="28"/>
        </w:rPr>
        <w:t>本标准共分8</w:t>
      </w:r>
      <w:r>
        <w:rPr>
          <w:rFonts w:hint="eastAsia" w:cs="Times New Roman"/>
          <w:szCs w:val="28"/>
        </w:rPr>
        <w:t>章</w:t>
      </w:r>
      <w:r>
        <w:rPr>
          <w:rFonts w:cs="Times New Roman"/>
          <w:szCs w:val="28"/>
        </w:rPr>
        <w:t>，主要技术内容包括：总则</w:t>
      </w:r>
      <w:r>
        <w:rPr>
          <w:rFonts w:hint="eastAsia" w:cs="Times New Roman"/>
          <w:szCs w:val="28"/>
        </w:rPr>
        <w:t>、</w:t>
      </w:r>
      <w:r>
        <w:rPr>
          <w:rFonts w:cs="Times New Roman"/>
          <w:szCs w:val="28"/>
        </w:rPr>
        <w:t>术语</w:t>
      </w:r>
      <w:r>
        <w:rPr>
          <w:rFonts w:hint="eastAsia" w:cs="Times New Roman"/>
          <w:szCs w:val="28"/>
          <w:lang w:eastAsia="zh-CN"/>
        </w:rPr>
        <w:t>和符号</w:t>
      </w:r>
      <w:r>
        <w:rPr>
          <w:rFonts w:hint="eastAsia" w:cs="Times New Roman"/>
          <w:szCs w:val="28"/>
        </w:rPr>
        <w:t>、</w:t>
      </w:r>
      <w:r>
        <w:rPr>
          <w:rFonts w:cs="Times New Roman"/>
          <w:szCs w:val="28"/>
        </w:rPr>
        <w:t>基本规定</w:t>
      </w:r>
      <w:r>
        <w:rPr>
          <w:rFonts w:hint="eastAsia" w:cs="Times New Roman"/>
          <w:szCs w:val="28"/>
        </w:rPr>
        <w:t>、材料、钢渣混凝土配合比设计、钢渣混凝土桩复合地基设计、施工</w:t>
      </w:r>
      <w:r>
        <w:rPr>
          <w:rFonts w:hint="eastAsia" w:cs="Times New Roman"/>
          <w:szCs w:val="28"/>
          <w:lang w:eastAsia="zh-CN"/>
        </w:rPr>
        <w:t>、</w:t>
      </w:r>
      <w:r>
        <w:rPr>
          <w:rFonts w:hint="eastAsia" w:cs="Times New Roman"/>
          <w:szCs w:val="28"/>
        </w:rPr>
        <w:t>质量检测与验收等。</w:t>
      </w:r>
    </w:p>
    <w:p>
      <w:pPr>
        <w:snapToGrid w:val="0"/>
        <w:spacing w:line="360" w:lineRule="auto"/>
        <w:ind w:firstLine="480"/>
        <w:jc w:val="left"/>
        <w:rPr>
          <w:rFonts w:cs="Times New Roman"/>
          <w:szCs w:val="28"/>
        </w:rPr>
      </w:pPr>
      <w:r>
        <w:rPr>
          <w:rFonts w:cs="Times New Roman"/>
          <w:szCs w:val="28"/>
        </w:rPr>
        <w:t>请注意本标准的某些内容可能直接或间接涉及专利，本标准的发布机构不承担识别这些专利的责任。</w:t>
      </w:r>
    </w:p>
    <w:p>
      <w:pPr>
        <w:snapToGrid w:val="0"/>
        <w:spacing w:line="360" w:lineRule="auto"/>
        <w:ind w:firstLine="480"/>
        <w:jc w:val="left"/>
        <w:rPr>
          <w:rFonts w:cs="Times New Roman"/>
          <w:szCs w:val="28"/>
        </w:rPr>
      </w:pPr>
      <w:r>
        <w:rPr>
          <w:rFonts w:cs="Times New Roman"/>
          <w:szCs w:val="28"/>
        </w:rPr>
        <w:t>本标准由中国工程建设标准化协会</w:t>
      </w:r>
      <w:r>
        <w:rPr>
          <w:rFonts w:hint="eastAsia" w:cs="Times New Roman"/>
          <w:szCs w:val="28"/>
        </w:rPr>
        <w:t>勘查</w:t>
      </w:r>
      <w:r>
        <w:rPr>
          <w:rFonts w:cs="Times New Roman"/>
          <w:szCs w:val="28"/>
        </w:rPr>
        <w:t>专业委员会归口管理，由</w:t>
      </w:r>
      <w:r>
        <w:rPr>
          <w:rFonts w:hint="eastAsia" w:cs="Times New Roman"/>
          <w:szCs w:val="28"/>
        </w:rPr>
        <w:t>中冀建勘集团有限公司</w:t>
      </w:r>
      <w:r>
        <w:rPr>
          <w:rFonts w:cs="Times New Roman"/>
          <w:szCs w:val="28"/>
        </w:rPr>
        <w:t>、</w:t>
      </w:r>
      <w:r>
        <w:rPr>
          <w:rFonts w:hint="eastAsia" w:cs="Times New Roman"/>
          <w:szCs w:val="28"/>
        </w:rPr>
        <w:t>石家庄</w:t>
      </w:r>
      <w:r>
        <w:rPr>
          <w:rFonts w:cs="Times New Roman"/>
          <w:szCs w:val="28"/>
        </w:rPr>
        <w:t>铁道大学负责具体技术内容的解释。执行过程中如有意见或建议，请寄送至解释单位（地址：</w:t>
      </w:r>
      <w:r>
        <w:rPr>
          <w:rFonts w:hint="eastAsia" w:cs="Times New Roman"/>
          <w:szCs w:val="28"/>
        </w:rPr>
        <w:t>河北省石家庄市鹿泉区槐安西路5</w:t>
      </w:r>
      <w:r>
        <w:rPr>
          <w:rFonts w:cs="Times New Roman"/>
          <w:szCs w:val="28"/>
        </w:rPr>
        <w:t>55号；邮编</w:t>
      </w:r>
      <w:r>
        <w:rPr>
          <w:rFonts w:hint="eastAsia" w:cs="Times New Roman"/>
          <w:szCs w:val="28"/>
        </w:rPr>
        <w:t>：0</w:t>
      </w:r>
      <w:r>
        <w:rPr>
          <w:rFonts w:cs="Times New Roman"/>
          <w:szCs w:val="28"/>
        </w:rPr>
        <w:t>50027）</w:t>
      </w:r>
    </w:p>
    <w:p>
      <w:pPr>
        <w:snapToGrid w:val="0"/>
        <w:spacing w:line="360" w:lineRule="auto"/>
        <w:ind w:firstLine="482"/>
        <w:jc w:val="left"/>
        <w:rPr>
          <w:rFonts w:cs="Times New Roman"/>
          <w:szCs w:val="22"/>
        </w:rPr>
      </w:pPr>
      <w:r>
        <w:rPr>
          <w:rFonts w:cs="Times New Roman"/>
          <w:b/>
          <w:szCs w:val="22"/>
        </w:rPr>
        <w:t>本标准主编单位：</w:t>
      </w:r>
      <w:r>
        <w:rPr>
          <w:rFonts w:hint="eastAsia" w:cs="Times New Roman"/>
          <w:szCs w:val="28"/>
        </w:rPr>
        <w:t>中冀建勘集团有限公司</w:t>
      </w:r>
      <w:r>
        <w:rPr>
          <w:rFonts w:cs="Times New Roman"/>
          <w:szCs w:val="22"/>
        </w:rPr>
        <w:t xml:space="preserve"> </w:t>
      </w:r>
    </w:p>
    <w:p>
      <w:pPr>
        <w:snapToGrid w:val="0"/>
        <w:spacing w:line="360" w:lineRule="auto"/>
        <w:ind w:left="1920" w:leftChars="800" w:firstLine="480"/>
        <w:jc w:val="left"/>
        <w:rPr>
          <w:rFonts w:cs="Times New Roman"/>
          <w:szCs w:val="22"/>
        </w:rPr>
      </w:pPr>
      <w:r>
        <w:rPr>
          <w:rFonts w:cs="Times New Roman"/>
          <w:szCs w:val="22"/>
        </w:rPr>
        <w:t>石家庄铁道大学</w:t>
      </w:r>
    </w:p>
    <w:p>
      <w:pPr>
        <w:snapToGrid w:val="0"/>
        <w:spacing w:line="360" w:lineRule="auto"/>
        <w:ind w:firstLine="482"/>
        <w:jc w:val="left"/>
        <w:rPr>
          <w:rFonts w:hint="eastAsia" w:cs="Times New Roman"/>
          <w:szCs w:val="22"/>
        </w:rPr>
      </w:pPr>
      <w:r>
        <w:rPr>
          <w:rFonts w:cs="Times New Roman"/>
          <w:b/>
          <w:szCs w:val="22"/>
        </w:rPr>
        <w:t>本标准参编单位</w:t>
      </w:r>
      <w:r>
        <w:rPr>
          <w:rFonts w:cs="Times New Roman"/>
          <w:szCs w:val="22"/>
        </w:rPr>
        <w:t>：</w:t>
      </w:r>
      <w:r>
        <w:rPr>
          <w:rFonts w:hint="eastAsia" w:cs="Times New Roman"/>
          <w:szCs w:val="22"/>
        </w:rPr>
        <w:t>北京交通大学</w:t>
      </w:r>
    </w:p>
    <w:p>
      <w:pPr>
        <w:snapToGrid w:val="0"/>
        <w:spacing w:line="360" w:lineRule="auto"/>
        <w:ind w:firstLine="2400" w:firstLineChars="1000"/>
        <w:jc w:val="left"/>
        <w:rPr>
          <w:rFonts w:hint="eastAsia" w:cs="Times New Roman"/>
          <w:szCs w:val="22"/>
        </w:rPr>
      </w:pPr>
      <w:r>
        <w:rPr>
          <w:rFonts w:hint="eastAsia" w:cs="Times New Roman"/>
          <w:szCs w:val="22"/>
        </w:rPr>
        <w:t>河北双诚建筑工程检测有限公司</w:t>
      </w:r>
    </w:p>
    <w:p>
      <w:pPr>
        <w:snapToGrid w:val="0"/>
        <w:spacing w:line="360" w:lineRule="auto"/>
        <w:ind w:firstLine="2400" w:firstLineChars="1000"/>
        <w:jc w:val="left"/>
        <w:rPr>
          <w:rFonts w:hint="eastAsia" w:cs="Times New Roman"/>
          <w:szCs w:val="22"/>
        </w:rPr>
      </w:pPr>
      <w:r>
        <w:rPr>
          <w:rFonts w:hint="eastAsia" w:cs="Times New Roman"/>
          <w:szCs w:val="22"/>
        </w:rPr>
        <w:t>唐山曹妃甸铁路建设有限公司</w:t>
      </w:r>
    </w:p>
    <w:p>
      <w:pPr>
        <w:snapToGrid w:val="0"/>
        <w:spacing w:line="360" w:lineRule="auto"/>
        <w:ind w:firstLine="2400" w:firstLineChars="1000"/>
        <w:jc w:val="left"/>
        <w:rPr>
          <w:rFonts w:hint="eastAsia" w:cs="Times New Roman"/>
          <w:szCs w:val="22"/>
        </w:rPr>
      </w:pPr>
      <w:r>
        <w:rPr>
          <w:rFonts w:hint="eastAsia" w:cs="Times New Roman"/>
          <w:szCs w:val="22"/>
        </w:rPr>
        <w:t>唐山建标工程项目管理咨询有限公司</w:t>
      </w:r>
    </w:p>
    <w:p>
      <w:pPr>
        <w:snapToGrid w:val="0"/>
        <w:spacing w:line="360" w:lineRule="auto"/>
        <w:ind w:firstLine="2400" w:firstLineChars="1000"/>
        <w:jc w:val="left"/>
        <w:rPr>
          <w:rFonts w:hint="eastAsia" w:cs="Times New Roman"/>
          <w:szCs w:val="22"/>
        </w:rPr>
      </w:pPr>
      <w:r>
        <w:rPr>
          <w:rFonts w:hint="eastAsia" w:cs="Times New Roman"/>
          <w:szCs w:val="22"/>
        </w:rPr>
        <w:t>河北海创岩土工程有限公司</w:t>
      </w:r>
    </w:p>
    <w:p>
      <w:pPr>
        <w:snapToGrid w:val="0"/>
        <w:spacing w:line="360" w:lineRule="auto"/>
        <w:ind w:firstLine="2400" w:firstLineChars="1000"/>
        <w:jc w:val="left"/>
        <w:rPr>
          <w:rFonts w:cs="Times New Roman"/>
          <w:szCs w:val="22"/>
        </w:rPr>
      </w:pPr>
      <w:r>
        <w:rPr>
          <w:rFonts w:hint="eastAsia" w:cs="Times New Roman"/>
          <w:szCs w:val="22"/>
        </w:rPr>
        <w:t>中冶武勘工程技术有限公司</w:t>
      </w:r>
    </w:p>
    <w:p>
      <w:pPr>
        <w:snapToGrid w:val="0"/>
        <w:spacing w:line="360" w:lineRule="auto"/>
        <w:ind w:firstLine="482"/>
        <w:jc w:val="left"/>
        <w:rPr>
          <w:rFonts w:cs="Times New Roman"/>
          <w:b/>
          <w:szCs w:val="22"/>
        </w:rPr>
      </w:pPr>
      <w:r>
        <w:rPr>
          <w:rFonts w:hint="eastAsia" w:cs="Times New Roman"/>
          <w:b/>
          <w:szCs w:val="22"/>
        </w:rPr>
        <w:t>主要起草人：</w:t>
      </w:r>
    </w:p>
    <w:p>
      <w:pPr>
        <w:snapToGrid w:val="0"/>
        <w:spacing w:line="360" w:lineRule="auto"/>
        <w:ind w:firstLine="480"/>
        <w:jc w:val="left"/>
        <w:rPr>
          <w:rFonts w:cs="Times New Roman"/>
          <w:szCs w:val="22"/>
        </w:rPr>
      </w:pPr>
    </w:p>
    <w:p>
      <w:pPr>
        <w:snapToGrid w:val="0"/>
        <w:spacing w:line="360" w:lineRule="auto"/>
        <w:ind w:firstLine="480"/>
        <w:jc w:val="left"/>
        <w:rPr>
          <w:rFonts w:cs="Times New Roman"/>
          <w:szCs w:val="22"/>
        </w:rPr>
      </w:pPr>
    </w:p>
    <w:p>
      <w:pPr>
        <w:snapToGrid w:val="0"/>
        <w:spacing w:line="360" w:lineRule="auto"/>
        <w:ind w:firstLine="482"/>
        <w:jc w:val="left"/>
        <w:rPr>
          <w:rFonts w:hint="eastAsia" w:cs="Times New Roman"/>
          <w:b/>
          <w:szCs w:val="22"/>
        </w:rPr>
      </w:pPr>
      <w:r>
        <w:rPr>
          <w:rFonts w:cs="Times New Roman"/>
          <w:b/>
          <w:szCs w:val="22"/>
        </w:rPr>
        <w:t>主要审查人</w:t>
      </w:r>
      <w:r>
        <w:rPr>
          <w:rFonts w:hint="eastAsia" w:cs="Times New Roman"/>
          <w:b/>
          <w:szCs w:val="22"/>
        </w:rPr>
        <w:t>：</w:t>
      </w:r>
    </w:p>
    <w:p>
      <w:pPr>
        <w:snapToGrid w:val="0"/>
        <w:spacing w:line="360" w:lineRule="auto"/>
        <w:ind w:firstLine="480"/>
        <w:jc w:val="left"/>
        <w:rPr>
          <w:rFonts w:cs="Times New Roman"/>
          <w:szCs w:val="22"/>
        </w:rPr>
      </w:pPr>
    </w:p>
    <w:p>
      <w:pPr>
        <w:snapToGrid w:val="0"/>
        <w:spacing w:line="360" w:lineRule="auto"/>
        <w:ind w:firstLine="480"/>
        <w:jc w:val="left"/>
        <w:rPr>
          <w:rFonts w:cs="Times New Roman"/>
          <w:szCs w:val="22"/>
        </w:rPr>
      </w:pPr>
    </w:p>
    <w:p>
      <w:pPr>
        <w:snapToGrid w:val="0"/>
        <w:spacing w:line="360" w:lineRule="auto"/>
        <w:ind w:left="1920" w:leftChars="800" w:firstLine="480"/>
        <w:jc w:val="left"/>
        <w:rPr>
          <w:rFonts w:cs="Times New Roman"/>
          <w:szCs w:val="22"/>
        </w:rPr>
        <w:sectPr>
          <w:headerReference r:id="rId19" w:type="first"/>
          <w:footerReference r:id="rId22" w:type="first"/>
          <w:headerReference r:id="rId17" w:type="default"/>
          <w:footerReference r:id="rId20" w:type="default"/>
          <w:headerReference r:id="rId18" w:type="even"/>
          <w:footerReference r:id="rId21" w:type="even"/>
          <w:pgSz w:w="11906" w:h="16838"/>
          <w:pgMar w:top="1440" w:right="1800" w:bottom="1440" w:left="1800" w:header="851" w:footer="992" w:gutter="0"/>
          <w:pgNumType w:start="1"/>
          <w:cols w:space="425" w:num="1"/>
          <w:docGrid w:type="lines" w:linePitch="312" w:charSpace="0"/>
        </w:sectPr>
      </w:pPr>
      <w:bookmarkStart w:id="335" w:name="_GoBack"/>
      <w:bookmarkEnd w:id="335"/>
    </w:p>
    <w:p>
      <w:pPr>
        <w:spacing w:before="480" w:after="120" w:line="360" w:lineRule="auto"/>
        <w:ind w:firstLine="0" w:firstLineChars="0"/>
        <w:jc w:val="center"/>
        <w:rPr>
          <w:rFonts w:ascii="黑体" w:hAnsi="黑体" w:eastAsia="黑体"/>
          <w:sz w:val="32"/>
          <w:szCs w:val="24"/>
        </w:rPr>
      </w:pPr>
      <w:bookmarkStart w:id="3" w:name="_Hlk213690040"/>
      <w:r>
        <w:rPr>
          <w:rFonts w:hint="eastAsia" w:ascii="黑体" w:hAnsi="黑体" w:eastAsia="黑体"/>
          <w:sz w:val="32"/>
          <w:szCs w:val="24"/>
        </w:rPr>
        <w:t>目  录</w:t>
      </w:r>
    </w:p>
    <w:bookmarkEnd w:id="3"/>
    <w:p>
      <w:pPr>
        <w:pStyle w:val="18"/>
        <w:tabs>
          <w:tab w:val="right" w:leader="dot" w:pos="8296"/>
        </w:tabs>
        <w:rPr>
          <w:rFonts w:asciiTheme="minorHAnsi" w:hAnsiTheme="minorHAnsi" w:eastAsiaTheme="minorEastAsia"/>
          <w:sz w:val="22"/>
          <w:szCs w:val="24"/>
          <w14:ligatures w14:val="standardContextual"/>
        </w:rPr>
      </w:pPr>
      <w:r>
        <w:rPr>
          <w:rFonts w:hint="eastAsia" w:ascii="黑体" w:hAnsi="黑体" w:eastAsia="黑体"/>
          <w:sz w:val="32"/>
          <w:szCs w:val="24"/>
        </w:rPr>
        <w:fldChar w:fldCharType="begin"/>
      </w:r>
      <w:r>
        <w:rPr>
          <w:rFonts w:hint="eastAsia" w:ascii="黑体" w:hAnsi="黑体" w:eastAsia="黑体"/>
          <w:sz w:val="32"/>
          <w:szCs w:val="24"/>
        </w:rPr>
        <w:instrText xml:space="preserve"> TOC \o "1-3" \h \z \u </w:instrText>
      </w:r>
      <w:r>
        <w:rPr>
          <w:rFonts w:hint="eastAsia" w:ascii="黑体" w:hAnsi="黑体" w:eastAsia="黑体"/>
          <w:sz w:val="32"/>
          <w:szCs w:val="24"/>
        </w:rPr>
        <w:fldChar w:fldCharType="separate"/>
      </w:r>
      <w:bookmarkStart w:id="4" w:name="_Hlk213773738"/>
      <w:r>
        <w:rPr>
          <w:rStyle w:val="27"/>
          <w:rFonts w:hint="eastAsia"/>
        </w:rPr>
        <w:fldChar w:fldCharType="begin"/>
      </w:r>
      <w:r>
        <w:rPr>
          <w:rStyle w:val="27"/>
          <w:rFonts w:hint="eastAsia"/>
        </w:rPr>
        <w:instrText xml:space="preserve"> </w:instrText>
      </w:r>
      <w:r>
        <w:rPr>
          <w:rFonts w:hint="eastAsia"/>
        </w:rPr>
        <w:instrText xml:space="preserve">HYPERLINK \l "_Toc213773524"</w:instrText>
      </w:r>
      <w:r>
        <w:rPr>
          <w:rStyle w:val="27"/>
          <w:rFonts w:hint="eastAsia"/>
        </w:rPr>
        <w:instrText xml:space="preserve"> </w:instrText>
      </w:r>
      <w:r>
        <w:rPr>
          <w:rStyle w:val="27"/>
          <w:rFonts w:hint="eastAsia"/>
        </w:rPr>
        <w:fldChar w:fldCharType="separate"/>
      </w:r>
      <w:r>
        <w:rPr>
          <w:rStyle w:val="27"/>
          <w:rFonts w:hint="eastAsia"/>
        </w:rPr>
        <w:t>1  总则</w:t>
      </w:r>
      <w:r>
        <w:rPr>
          <w:rFonts w:hint="eastAsia"/>
        </w:rPr>
        <w:tab/>
      </w:r>
      <w:r>
        <w:rPr>
          <w:rFonts w:hint="eastAsia"/>
        </w:rPr>
        <w:fldChar w:fldCharType="begin"/>
      </w:r>
      <w:r>
        <w:rPr>
          <w:rFonts w:hint="eastAsia"/>
        </w:rPr>
        <w:instrText xml:space="preserve"> </w:instrText>
      </w:r>
      <w:r>
        <w:instrText xml:space="preserve">PAGEREF _Toc213773524 \h</w:instrText>
      </w:r>
      <w:r>
        <w:rPr>
          <w:rFonts w:hint="eastAsia"/>
        </w:rPr>
        <w:instrText xml:space="preserve"> </w:instrText>
      </w:r>
      <w:r>
        <w:rPr>
          <w:rFonts w:hint="eastAsia"/>
        </w:rPr>
        <w:fldChar w:fldCharType="separate"/>
      </w:r>
      <w:r>
        <w:t>1</w:t>
      </w:r>
      <w:r>
        <w:rPr>
          <w:rFonts w:hint="eastAsia"/>
        </w:rPr>
        <w:fldChar w:fldCharType="end"/>
      </w:r>
      <w:r>
        <w:rPr>
          <w:rStyle w:val="27"/>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"_Toc213773525" </w:instrText>
      </w:r>
      <w:r>
        <w:fldChar w:fldCharType="separate"/>
      </w:r>
      <w:r>
        <w:rPr>
          <w:rStyle w:val="27"/>
          <w:rFonts w:hint="eastAsia"/>
        </w:rPr>
        <w:t>2  术语</w:t>
      </w:r>
      <w:r>
        <w:rPr>
          <w:rStyle w:val="27"/>
          <w:rFonts w:hint="eastAsia"/>
          <w:lang w:eastAsia="zh-CN"/>
        </w:rPr>
        <w:t>和</w:t>
      </w:r>
      <w:r>
        <w:rPr>
          <w:rStyle w:val="27"/>
          <w:rFonts w:hint="eastAsia"/>
        </w:rPr>
        <w:t>符号</w:t>
      </w:r>
      <w:r>
        <w:rPr>
          <w:rFonts w:hint="eastAsia"/>
        </w:rPr>
        <w:tab/>
      </w:r>
      <w:r>
        <w:rPr>
          <w:rFonts w:hint="eastAsia"/>
        </w:rPr>
        <w:fldChar w:fldCharType="begin"/>
      </w:r>
      <w:r>
        <w:rPr>
          <w:rFonts w:hint="eastAsia"/>
        </w:rPr>
        <w:instrText xml:space="preserve"> </w:instrText>
      </w:r>
      <w:r>
        <w:instrText xml:space="preserve">PAGEREF _Toc213773525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"_Toc213773526" </w:instrText>
      </w:r>
      <w:r>
        <w:fldChar w:fldCharType="separate"/>
      </w:r>
      <w:r>
        <w:rPr>
          <w:rStyle w:val="27"/>
          <w:rFonts w:hint="eastAsia"/>
        </w:rPr>
        <w:t>2.1  术语</w:t>
      </w:r>
      <w:r>
        <w:rPr>
          <w:rFonts w:hint="eastAsia"/>
        </w:rPr>
        <w:tab/>
      </w:r>
      <w:r>
        <w:rPr>
          <w:rFonts w:hint="eastAsia"/>
        </w:rPr>
        <w:fldChar w:fldCharType="begin"/>
      </w:r>
      <w:r>
        <w:rPr>
          <w:rFonts w:hint="eastAsia"/>
        </w:rPr>
        <w:instrText xml:space="preserve"> </w:instrText>
      </w:r>
      <w:r>
        <w:instrText xml:space="preserve">PAGEREF _Toc213773526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"_Toc213773527" </w:instrText>
      </w:r>
      <w:r>
        <w:fldChar w:fldCharType="separate"/>
      </w:r>
      <w:r>
        <w:rPr>
          <w:rStyle w:val="27"/>
          <w:rFonts w:hint="eastAsia"/>
        </w:rPr>
        <w:t>2.2  符号</w:t>
      </w:r>
      <w:r>
        <w:rPr>
          <w:rFonts w:hint="eastAsia"/>
        </w:rPr>
        <w:tab/>
      </w:r>
      <w:r>
        <w:rPr>
          <w:rFonts w:hint="eastAsia"/>
        </w:rPr>
        <w:fldChar w:fldCharType="begin"/>
      </w:r>
      <w:r>
        <w:rPr>
          <w:rFonts w:hint="eastAsia"/>
        </w:rPr>
        <w:instrText xml:space="preserve"> </w:instrText>
      </w:r>
      <w:r>
        <w:instrText xml:space="preserve">PAGEREF _Toc213773527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"_Toc213773528" </w:instrText>
      </w:r>
      <w:r>
        <w:fldChar w:fldCharType="separate"/>
      </w:r>
      <w:r>
        <w:rPr>
          <w:rStyle w:val="27"/>
          <w:rFonts w:hint="eastAsia"/>
        </w:rPr>
        <w:t>3  基本规定</w:t>
      </w:r>
      <w:r>
        <w:rPr>
          <w:rFonts w:hint="eastAsia"/>
        </w:rPr>
        <w:tab/>
      </w:r>
      <w:r>
        <w:rPr>
          <w:rFonts w:hint="eastAsia"/>
        </w:rPr>
        <w:fldChar w:fldCharType="begin"/>
      </w:r>
      <w:r>
        <w:rPr>
          <w:rFonts w:hint="eastAsia"/>
        </w:rPr>
        <w:instrText xml:space="preserve"> </w:instrText>
      </w:r>
      <w:r>
        <w:instrText xml:space="preserve">PAGEREF _Toc213773528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"_Toc213773529" </w:instrText>
      </w:r>
      <w:r>
        <w:fldChar w:fldCharType="separate"/>
      </w:r>
      <w:r>
        <w:rPr>
          <w:rStyle w:val="27"/>
          <w:rFonts w:hint="eastAsia"/>
        </w:rPr>
        <w:t>4  材料</w:t>
      </w:r>
      <w:r>
        <w:rPr>
          <w:rFonts w:hint="eastAsia"/>
        </w:rPr>
        <w:tab/>
      </w:r>
      <w:r>
        <w:rPr>
          <w:rFonts w:hint="eastAsia"/>
        </w:rPr>
        <w:fldChar w:fldCharType="begin"/>
      </w:r>
      <w:r>
        <w:rPr>
          <w:rFonts w:hint="eastAsia"/>
        </w:rPr>
        <w:instrText xml:space="preserve"> </w:instrText>
      </w:r>
      <w:r>
        <w:instrText xml:space="preserve">PAGEREF _Toc213773529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"_Toc213773530" </w:instrText>
      </w:r>
      <w:r>
        <w:fldChar w:fldCharType="separate"/>
      </w:r>
      <w:r>
        <w:rPr>
          <w:rStyle w:val="27"/>
          <w:rFonts w:hint="eastAsia"/>
        </w:rPr>
        <w:t>4.1  钢渣粉</w:t>
      </w:r>
      <w:r>
        <w:rPr>
          <w:rFonts w:hint="eastAsia"/>
        </w:rPr>
        <w:tab/>
      </w:r>
      <w:r>
        <w:rPr>
          <w:rFonts w:hint="eastAsia"/>
        </w:rPr>
        <w:fldChar w:fldCharType="begin"/>
      </w:r>
      <w:r>
        <w:rPr>
          <w:rFonts w:hint="eastAsia"/>
        </w:rPr>
        <w:instrText xml:space="preserve"> </w:instrText>
      </w:r>
      <w:r>
        <w:instrText xml:space="preserve">PAGEREF _Toc213773530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"_Toc213773531" </w:instrText>
      </w:r>
      <w:r>
        <w:fldChar w:fldCharType="separate"/>
      </w:r>
      <w:r>
        <w:rPr>
          <w:rStyle w:val="27"/>
          <w:rFonts w:hint="eastAsia"/>
        </w:rPr>
        <w:t>4.2  钢渣骨料</w:t>
      </w:r>
      <w:r>
        <w:rPr>
          <w:rFonts w:hint="eastAsia"/>
        </w:rPr>
        <w:tab/>
      </w:r>
      <w:r>
        <w:rPr>
          <w:rFonts w:hint="eastAsia"/>
        </w:rPr>
        <w:fldChar w:fldCharType="begin"/>
      </w:r>
      <w:r>
        <w:rPr>
          <w:rFonts w:hint="eastAsia"/>
        </w:rPr>
        <w:instrText xml:space="preserve"> </w:instrText>
      </w:r>
      <w:r>
        <w:instrText xml:space="preserve">PAGEREF _Toc213773531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"_Toc213773532" </w:instrText>
      </w:r>
      <w:r>
        <w:fldChar w:fldCharType="separate"/>
      </w:r>
      <w:r>
        <w:rPr>
          <w:rStyle w:val="27"/>
          <w:rFonts w:hint="eastAsia"/>
        </w:rPr>
        <w:t>4.3  矿物掺合料及外加剂</w:t>
      </w:r>
      <w:r>
        <w:rPr>
          <w:rFonts w:hint="eastAsia"/>
        </w:rPr>
        <w:tab/>
      </w:r>
      <w:r>
        <w:rPr>
          <w:rFonts w:hint="eastAsia"/>
        </w:rPr>
        <w:fldChar w:fldCharType="begin"/>
      </w:r>
      <w:r>
        <w:rPr>
          <w:rFonts w:hint="eastAsia"/>
        </w:rPr>
        <w:instrText xml:space="preserve"> </w:instrText>
      </w:r>
      <w:r>
        <w:instrText xml:space="preserve">PAGEREF _Toc213773532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"_Toc213773533" </w:instrText>
      </w:r>
      <w:r>
        <w:fldChar w:fldCharType="separate"/>
      </w:r>
      <w:r>
        <w:rPr>
          <w:rStyle w:val="27"/>
          <w:rFonts w:hint="eastAsia"/>
        </w:rPr>
        <w:t>5  钢渣混凝土配合比设计</w:t>
      </w:r>
      <w:r>
        <w:rPr>
          <w:rFonts w:hint="eastAsia"/>
        </w:rPr>
        <w:tab/>
      </w:r>
      <w:r>
        <w:rPr>
          <w:rFonts w:hint="eastAsia"/>
        </w:rPr>
        <w:fldChar w:fldCharType="begin"/>
      </w:r>
      <w:r>
        <w:rPr>
          <w:rFonts w:hint="eastAsia"/>
        </w:rPr>
        <w:instrText xml:space="preserve"> </w:instrText>
      </w:r>
      <w:r>
        <w:instrText xml:space="preserve">PAGEREF _Toc213773533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"_Toc213773534" </w:instrText>
      </w:r>
      <w:r>
        <w:fldChar w:fldCharType="separate"/>
      </w:r>
      <w:r>
        <w:rPr>
          <w:rStyle w:val="27"/>
          <w:rFonts w:hint="eastAsia"/>
        </w:rPr>
        <w:t>5.1  一般规定</w:t>
      </w:r>
      <w:r>
        <w:rPr>
          <w:rFonts w:hint="eastAsia"/>
        </w:rPr>
        <w:tab/>
      </w:r>
      <w:r>
        <w:rPr>
          <w:rFonts w:hint="eastAsia"/>
        </w:rPr>
        <w:fldChar w:fldCharType="begin"/>
      </w:r>
      <w:r>
        <w:rPr>
          <w:rFonts w:hint="eastAsia"/>
        </w:rPr>
        <w:instrText xml:space="preserve"> </w:instrText>
      </w:r>
      <w:r>
        <w:instrText xml:space="preserve">PAGEREF _Toc213773534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"_Toc213773535" </w:instrText>
      </w:r>
      <w:r>
        <w:fldChar w:fldCharType="separate"/>
      </w:r>
      <w:r>
        <w:rPr>
          <w:rStyle w:val="27"/>
          <w:rFonts w:hint="eastAsia"/>
        </w:rPr>
        <w:t>5.2  拌合物性能</w:t>
      </w:r>
      <w:r>
        <w:rPr>
          <w:rFonts w:hint="eastAsia"/>
        </w:rPr>
        <w:tab/>
      </w:r>
      <w:r>
        <w:rPr>
          <w:rFonts w:hint="eastAsia"/>
        </w:rPr>
        <w:fldChar w:fldCharType="begin"/>
      </w:r>
      <w:r>
        <w:rPr>
          <w:rFonts w:hint="eastAsia"/>
        </w:rPr>
        <w:instrText xml:space="preserve"> </w:instrText>
      </w:r>
      <w:r>
        <w:instrText xml:space="preserve">PAGEREF _Toc213773535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"_Toc213773536" </w:instrText>
      </w:r>
      <w:r>
        <w:fldChar w:fldCharType="separate"/>
      </w:r>
      <w:r>
        <w:rPr>
          <w:rStyle w:val="27"/>
          <w:rFonts w:hint="eastAsia"/>
        </w:rPr>
        <w:t>5.3  力学性能</w:t>
      </w:r>
      <w:r>
        <w:rPr>
          <w:rFonts w:hint="eastAsia"/>
        </w:rPr>
        <w:tab/>
      </w:r>
      <w:r>
        <w:rPr>
          <w:rFonts w:hint="eastAsia"/>
        </w:rPr>
        <w:fldChar w:fldCharType="begin"/>
      </w:r>
      <w:r>
        <w:rPr>
          <w:rFonts w:hint="eastAsia"/>
        </w:rPr>
        <w:instrText xml:space="preserve"> </w:instrText>
      </w:r>
      <w:r>
        <w:instrText xml:space="preserve">PAGEREF _Toc213773536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"_Toc213773537" </w:instrText>
      </w:r>
      <w:r>
        <w:fldChar w:fldCharType="separate"/>
      </w:r>
      <w:r>
        <w:rPr>
          <w:rStyle w:val="27"/>
          <w:rFonts w:hint="eastAsia"/>
        </w:rPr>
        <w:t>5.4  钢渣混凝土配制强度的确定</w:t>
      </w:r>
      <w:r>
        <w:rPr>
          <w:rFonts w:hint="eastAsia"/>
        </w:rPr>
        <w:tab/>
      </w:r>
      <w:r>
        <w:rPr>
          <w:rFonts w:hint="eastAsia"/>
        </w:rPr>
        <w:fldChar w:fldCharType="begin"/>
      </w:r>
      <w:r>
        <w:rPr>
          <w:rFonts w:hint="eastAsia"/>
        </w:rPr>
        <w:instrText xml:space="preserve"> </w:instrText>
      </w:r>
      <w:r>
        <w:instrText xml:space="preserve">PAGEREF _Toc213773537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"_Toc213773538" </w:instrText>
      </w:r>
      <w:r>
        <w:fldChar w:fldCharType="separate"/>
      </w:r>
      <w:r>
        <w:rPr>
          <w:rStyle w:val="27"/>
          <w:rFonts w:hint="eastAsia"/>
        </w:rPr>
        <w:t>5.5  钢渣混凝土配合比调整与确定</w:t>
      </w:r>
      <w:r>
        <w:rPr>
          <w:rFonts w:hint="eastAsia"/>
        </w:rPr>
        <w:tab/>
      </w:r>
      <w:r>
        <w:rPr>
          <w:rFonts w:hint="eastAsia"/>
        </w:rPr>
        <w:fldChar w:fldCharType="begin"/>
      </w:r>
      <w:r>
        <w:rPr>
          <w:rFonts w:hint="eastAsia"/>
        </w:rPr>
        <w:instrText xml:space="preserve"> </w:instrText>
      </w:r>
      <w:r>
        <w:instrText xml:space="preserve">PAGEREF _Toc213773538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"_Toc213773539" </w:instrText>
      </w:r>
      <w:r>
        <w:fldChar w:fldCharType="separate"/>
      </w:r>
      <w:r>
        <w:rPr>
          <w:rStyle w:val="27"/>
          <w:rFonts w:hint="eastAsia"/>
        </w:rPr>
        <w:t>5.6  耐久性</w:t>
      </w:r>
      <w:r>
        <w:rPr>
          <w:rFonts w:hint="eastAsia"/>
        </w:rPr>
        <w:tab/>
      </w:r>
      <w:r>
        <w:rPr>
          <w:rFonts w:hint="eastAsia"/>
        </w:rPr>
        <w:fldChar w:fldCharType="begin"/>
      </w:r>
      <w:r>
        <w:rPr>
          <w:rFonts w:hint="eastAsia"/>
        </w:rPr>
        <w:instrText xml:space="preserve"> </w:instrText>
      </w:r>
      <w:r>
        <w:instrText xml:space="preserve">PAGEREF _Toc213773539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"_Toc213773540" </w:instrText>
      </w:r>
      <w:r>
        <w:fldChar w:fldCharType="separate"/>
      </w:r>
      <w:r>
        <w:rPr>
          <w:rStyle w:val="27"/>
          <w:rFonts w:hint="eastAsia"/>
        </w:rPr>
        <w:t>6  钢渣混凝土桩复合地基设计</w:t>
      </w:r>
      <w:r>
        <w:rPr>
          <w:rFonts w:hint="eastAsia"/>
        </w:rPr>
        <w:tab/>
      </w:r>
      <w:r>
        <w:rPr>
          <w:rFonts w:hint="eastAsia"/>
        </w:rPr>
        <w:fldChar w:fldCharType="begin"/>
      </w:r>
      <w:r>
        <w:rPr>
          <w:rFonts w:hint="eastAsia"/>
        </w:rPr>
        <w:instrText xml:space="preserve"> </w:instrText>
      </w:r>
      <w:r>
        <w:instrText xml:space="preserve">PAGEREF _Toc213773540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"_Toc213773541" </w:instrText>
      </w:r>
      <w:r>
        <w:fldChar w:fldCharType="separate"/>
      </w:r>
      <w:r>
        <w:rPr>
          <w:rStyle w:val="27"/>
          <w:rFonts w:hint="eastAsia"/>
        </w:rPr>
        <w:t>6.1  一般规定</w:t>
      </w:r>
      <w:r>
        <w:rPr>
          <w:rFonts w:hint="eastAsia"/>
        </w:rPr>
        <w:tab/>
      </w:r>
      <w:r>
        <w:rPr>
          <w:rFonts w:hint="eastAsia"/>
        </w:rPr>
        <w:fldChar w:fldCharType="begin"/>
      </w:r>
      <w:r>
        <w:rPr>
          <w:rFonts w:hint="eastAsia"/>
        </w:rPr>
        <w:instrText xml:space="preserve"> </w:instrText>
      </w:r>
      <w:r>
        <w:instrText xml:space="preserve">PAGEREF _Toc213773541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"_Toc213773542" </w:instrText>
      </w:r>
      <w:r>
        <w:fldChar w:fldCharType="separate"/>
      </w:r>
      <w:r>
        <w:rPr>
          <w:rStyle w:val="27"/>
          <w:rFonts w:hint="eastAsia"/>
        </w:rPr>
        <w:t>6.2  设计要求</w:t>
      </w:r>
      <w:r>
        <w:rPr>
          <w:rFonts w:hint="eastAsia"/>
        </w:rPr>
        <w:tab/>
      </w:r>
      <w:r>
        <w:rPr>
          <w:rFonts w:hint="eastAsia"/>
        </w:rPr>
        <w:fldChar w:fldCharType="begin"/>
      </w:r>
      <w:r>
        <w:rPr>
          <w:rFonts w:hint="eastAsia"/>
        </w:rPr>
        <w:instrText xml:space="preserve"> </w:instrText>
      </w:r>
      <w:r>
        <w:instrText xml:space="preserve">PAGEREF _Toc213773542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"_Toc213773543" </w:instrText>
      </w:r>
      <w:r>
        <w:fldChar w:fldCharType="separate"/>
      </w:r>
      <w:r>
        <w:rPr>
          <w:rStyle w:val="27"/>
          <w:rFonts w:hint="eastAsia"/>
        </w:rPr>
        <w:t>6.3  承载力计算</w:t>
      </w:r>
      <w:r>
        <w:rPr>
          <w:rFonts w:hint="eastAsia"/>
        </w:rPr>
        <w:tab/>
      </w:r>
      <w:r>
        <w:rPr>
          <w:rFonts w:hint="eastAsia"/>
        </w:rPr>
        <w:fldChar w:fldCharType="begin"/>
      </w:r>
      <w:r>
        <w:rPr>
          <w:rFonts w:hint="eastAsia"/>
        </w:rPr>
        <w:instrText xml:space="preserve"> </w:instrText>
      </w:r>
      <w:r>
        <w:instrText xml:space="preserve">PAGEREF _Toc213773543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"_Toc213773544" </w:instrText>
      </w:r>
      <w:r>
        <w:fldChar w:fldCharType="separate"/>
      </w:r>
      <w:r>
        <w:rPr>
          <w:rStyle w:val="27"/>
          <w:rFonts w:hint="eastAsia"/>
        </w:rPr>
        <w:t>6.4  变形计算</w:t>
      </w:r>
      <w:r>
        <w:rPr>
          <w:rFonts w:hint="eastAsia"/>
        </w:rPr>
        <w:tab/>
      </w:r>
      <w:r>
        <w:rPr>
          <w:rFonts w:hint="eastAsia"/>
        </w:rPr>
        <w:fldChar w:fldCharType="begin"/>
      </w:r>
      <w:r>
        <w:rPr>
          <w:rFonts w:hint="eastAsia"/>
        </w:rPr>
        <w:instrText xml:space="preserve"> </w:instrText>
      </w:r>
      <w:r>
        <w:instrText xml:space="preserve">PAGEREF _Toc213773544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"_Toc213773545" </w:instrText>
      </w:r>
      <w:r>
        <w:fldChar w:fldCharType="separate"/>
      </w:r>
      <w:r>
        <w:rPr>
          <w:rStyle w:val="27"/>
          <w:rFonts w:hint="eastAsia"/>
        </w:rPr>
        <w:t>7  施工</w:t>
      </w:r>
      <w:r>
        <w:rPr>
          <w:rFonts w:hint="eastAsia"/>
        </w:rPr>
        <w:tab/>
      </w:r>
      <w:r>
        <w:rPr>
          <w:rFonts w:hint="eastAsia"/>
        </w:rPr>
        <w:fldChar w:fldCharType="begin"/>
      </w:r>
      <w:r>
        <w:rPr>
          <w:rFonts w:hint="eastAsia"/>
        </w:rPr>
        <w:instrText xml:space="preserve"> </w:instrText>
      </w:r>
      <w:r>
        <w:instrText xml:space="preserve">PAGEREF _Toc213773545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"_Toc213773546" </w:instrText>
      </w:r>
      <w:r>
        <w:fldChar w:fldCharType="separate"/>
      </w:r>
      <w:r>
        <w:rPr>
          <w:rStyle w:val="27"/>
          <w:rFonts w:hint="eastAsia"/>
        </w:rPr>
        <w:t>7.1  一般规定</w:t>
      </w:r>
      <w:r>
        <w:rPr>
          <w:rFonts w:hint="eastAsia"/>
        </w:rPr>
        <w:tab/>
      </w:r>
      <w:r>
        <w:rPr>
          <w:rFonts w:hint="eastAsia"/>
        </w:rPr>
        <w:fldChar w:fldCharType="begin"/>
      </w:r>
      <w:r>
        <w:rPr>
          <w:rFonts w:hint="eastAsia"/>
        </w:rPr>
        <w:instrText xml:space="preserve"> </w:instrText>
      </w:r>
      <w:r>
        <w:instrText xml:space="preserve">PAGEREF _Toc213773546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"_Toc213773547" </w:instrText>
      </w:r>
      <w:r>
        <w:fldChar w:fldCharType="separate"/>
      </w:r>
      <w:r>
        <w:rPr>
          <w:rStyle w:val="27"/>
          <w:rFonts w:hint="eastAsia"/>
        </w:rPr>
        <w:t>7.2  施工组织与准备</w:t>
      </w:r>
      <w:r>
        <w:rPr>
          <w:rFonts w:hint="eastAsia"/>
        </w:rPr>
        <w:tab/>
      </w:r>
      <w:r>
        <w:rPr>
          <w:rFonts w:hint="eastAsia"/>
        </w:rPr>
        <w:fldChar w:fldCharType="begin"/>
      </w:r>
      <w:r>
        <w:rPr>
          <w:rFonts w:hint="eastAsia"/>
        </w:rPr>
        <w:instrText xml:space="preserve"> </w:instrText>
      </w:r>
      <w:r>
        <w:instrText xml:space="preserve">PAGEREF _Toc213773547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"_Toc213773548" </w:instrText>
      </w:r>
      <w:r>
        <w:fldChar w:fldCharType="separate"/>
      </w:r>
      <w:r>
        <w:rPr>
          <w:rStyle w:val="27"/>
          <w:rFonts w:hint="eastAsia"/>
        </w:rPr>
        <w:t>7.3  振动沉管成桩施工</w:t>
      </w:r>
      <w:r>
        <w:rPr>
          <w:rFonts w:hint="eastAsia"/>
        </w:rPr>
        <w:tab/>
      </w:r>
      <w:r>
        <w:rPr>
          <w:rFonts w:hint="eastAsia"/>
        </w:rPr>
        <w:fldChar w:fldCharType="begin"/>
      </w:r>
      <w:r>
        <w:rPr>
          <w:rFonts w:hint="eastAsia"/>
        </w:rPr>
        <w:instrText xml:space="preserve"> </w:instrText>
      </w:r>
      <w:r>
        <w:instrText xml:space="preserve">PAGEREF _Toc213773548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"_Toc213773549" </w:instrText>
      </w:r>
      <w:r>
        <w:fldChar w:fldCharType="separate"/>
      </w:r>
      <w:r>
        <w:rPr>
          <w:rStyle w:val="27"/>
          <w:rFonts w:hint="eastAsia"/>
        </w:rPr>
        <w:t>7.4  长螺旋钻机成桩施工</w:t>
      </w:r>
      <w:r>
        <w:rPr>
          <w:rFonts w:hint="eastAsia"/>
        </w:rPr>
        <w:tab/>
      </w:r>
      <w:r>
        <w:rPr>
          <w:rFonts w:hint="eastAsia"/>
        </w:rPr>
        <w:fldChar w:fldCharType="begin"/>
      </w:r>
      <w:r>
        <w:rPr>
          <w:rFonts w:hint="eastAsia"/>
        </w:rPr>
        <w:instrText xml:space="preserve"> </w:instrText>
      </w:r>
      <w:r>
        <w:instrText xml:space="preserve">PAGEREF _Toc213773549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"_Toc213773550" </w:instrText>
      </w:r>
      <w:r>
        <w:fldChar w:fldCharType="separate"/>
      </w:r>
      <w:r>
        <w:rPr>
          <w:rStyle w:val="27"/>
          <w:rFonts w:hint="eastAsia"/>
        </w:rPr>
        <w:t>7.5  褥垫层施工</w:t>
      </w:r>
      <w:r>
        <w:rPr>
          <w:rFonts w:hint="eastAsia"/>
        </w:rPr>
        <w:tab/>
      </w:r>
      <w:r>
        <w:rPr>
          <w:rFonts w:hint="eastAsia"/>
        </w:rPr>
        <w:fldChar w:fldCharType="begin"/>
      </w:r>
      <w:r>
        <w:rPr>
          <w:rFonts w:hint="eastAsia"/>
        </w:rPr>
        <w:instrText xml:space="preserve"> </w:instrText>
      </w:r>
      <w:r>
        <w:instrText xml:space="preserve">PAGEREF _Toc213773550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"_Toc213773551" </w:instrText>
      </w:r>
      <w:r>
        <w:fldChar w:fldCharType="separate"/>
      </w:r>
      <w:r>
        <w:rPr>
          <w:rStyle w:val="27"/>
          <w:rFonts w:hint="eastAsia"/>
        </w:rPr>
        <w:t>8  质量检测与验收</w:t>
      </w:r>
      <w:r>
        <w:rPr>
          <w:rFonts w:hint="eastAsia"/>
        </w:rPr>
        <w:tab/>
      </w:r>
      <w:r>
        <w:rPr>
          <w:rFonts w:hint="eastAsia"/>
        </w:rPr>
        <w:fldChar w:fldCharType="begin"/>
      </w:r>
      <w:r>
        <w:rPr>
          <w:rFonts w:hint="eastAsia"/>
        </w:rPr>
        <w:instrText xml:space="preserve"> </w:instrText>
      </w:r>
      <w:r>
        <w:instrText xml:space="preserve">PAGEREF _Toc213773551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"_Toc213773552" </w:instrText>
      </w:r>
      <w:r>
        <w:fldChar w:fldCharType="separate"/>
      </w:r>
      <w:r>
        <w:rPr>
          <w:rStyle w:val="27"/>
          <w:rFonts w:hint="eastAsia"/>
        </w:rPr>
        <w:t>8.1  一般规定</w:t>
      </w:r>
      <w:r>
        <w:rPr>
          <w:rFonts w:hint="eastAsia"/>
        </w:rPr>
        <w:tab/>
      </w:r>
      <w:r>
        <w:rPr>
          <w:rFonts w:hint="eastAsia"/>
        </w:rPr>
        <w:fldChar w:fldCharType="begin"/>
      </w:r>
      <w:r>
        <w:rPr>
          <w:rFonts w:hint="eastAsia"/>
        </w:rPr>
        <w:instrText xml:space="preserve"> </w:instrText>
      </w:r>
      <w:r>
        <w:instrText xml:space="preserve">PAGEREF _Toc213773552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"_Toc213773553" </w:instrText>
      </w:r>
      <w:r>
        <w:fldChar w:fldCharType="separate"/>
      </w:r>
      <w:r>
        <w:rPr>
          <w:rStyle w:val="27"/>
          <w:rFonts w:hint="eastAsia"/>
        </w:rPr>
        <w:t>8.2  复合地基检测</w:t>
      </w:r>
      <w:r>
        <w:rPr>
          <w:rFonts w:hint="eastAsia"/>
        </w:rPr>
        <w:tab/>
      </w:r>
      <w:r>
        <w:rPr>
          <w:rFonts w:hint="eastAsia"/>
        </w:rPr>
        <w:fldChar w:fldCharType="begin"/>
      </w:r>
      <w:r>
        <w:rPr>
          <w:rFonts w:hint="eastAsia"/>
        </w:rPr>
        <w:instrText xml:space="preserve"> </w:instrText>
      </w:r>
      <w:r>
        <w:instrText xml:space="preserve">PAGEREF _Toc213773553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"_Toc213773554" </w:instrText>
      </w:r>
      <w:r>
        <w:fldChar w:fldCharType="separate"/>
      </w:r>
      <w:r>
        <w:rPr>
          <w:rStyle w:val="27"/>
          <w:rFonts w:hint="eastAsia"/>
        </w:rPr>
        <w:t>8.3  钢渣混凝土桩检测</w:t>
      </w:r>
      <w:r>
        <w:rPr>
          <w:rFonts w:hint="eastAsia"/>
        </w:rPr>
        <w:tab/>
      </w:r>
      <w:r>
        <w:rPr>
          <w:rFonts w:hint="eastAsia"/>
        </w:rPr>
        <w:fldChar w:fldCharType="begin"/>
      </w:r>
      <w:r>
        <w:rPr>
          <w:rFonts w:hint="eastAsia"/>
        </w:rPr>
        <w:instrText xml:space="preserve"> </w:instrText>
      </w:r>
      <w:r>
        <w:instrText xml:space="preserve">PAGEREF _Toc213773554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"_Toc213773555" </w:instrText>
      </w:r>
      <w:r>
        <w:fldChar w:fldCharType="separate"/>
      </w:r>
      <w:r>
        <w:rPr>
          <w:rStyle w:val="27"/>
          <w:rFonts w:hint="eastAsia"/>
        </w:rPr>
        <w:t>8.4  验证与扩大检测</w:t>
      </w:r>
      <w:r>
        <w:rPr>
          <w:rFonts w:hint="eastAsia"/>
        </w:rPr>
        <w:tab/>
      </w:r>
      <w:r>
        <w:rPr>
          <w:rFonts w:hint="eastAsia"/>
        </w:rPr>
        <w:fldChar w:fldCharType="begin"/>
      </w:r>
      <w:r>
        <w:rPr>
          <w:rFonts w:hint="eastAsia"/>
        </w:rPr>
        <w:instrText xml:space="preserve"> </w:instrText>
      </w:r>
      <w:r>
        <w:instrText xml:space="preserve">PAGEREF _Toc213773555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"_Toc213773556" </w:instrText>
      </w:r>
      <w:r>
        <w:fldChar w:fldCharType="separate"/>
      </w:r>
      <w:r>
        <w:rPr>
          <w:rStyle w:val="27"/>
          <w:rFonts w:hint="eastAsia"/>
          <w:lang w:bidi="ar"/>
        </w:rPr>
        <w:t>8.5  检测结果评价和检测报告</w:t>
      </w:r>
      <w:r>
        <w:rPr>
          <w:rFonts w:hint="eastAsia"/>
        </w:rPr>
        <w:tab/>
      </w:r>
      <w:r>
        <w:rPr>
          <w:rFonts w:hint="eastAsia"/>
        </w:rPr>
        <w:fldChar w:fldCharType="begin"/>
      </w:r>
      <w:r>
        <w:rPr>
          <w:rFonts w:hint="eastAsia"/>
        </w:rPr>
        <w:instrText xml:space="preserve"> </w:instrText>
      </w:r>
      <w:r>
        <w:instrText xml:space="preserve">PAGEREF _Toc213773556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"_Toc213773557" </w:instrText>
      </w:r>
      <w:r>
        <w:fldChar w:fldCharType="separate"/>
      </w:r>
      <w:r>
        <w:rPr>
          <w:rStyle w:val="27"/>
          <w:rFonts w:hint="eastAsia"/>
        </w:rPr>
        <w:t>用词说明</w:t>
      </w:r>
      <w:r>
        <w:rPr>
          <w:rFonts w:hint="eastAsia"/>
        </w:rPr>
        <w:tab/>
      </w:r>
      <w:r>
        <w:rPr>
          <w:rFonts w:hint="eastAsia"/>
        </w:rPr>
        <w:fldChar w:fldCharType="begin"/>
      </w:r>
      <w:r>
        <w:rPr>
          <w:rFonts w:hint="eastAsia"/>
        </w:rPr>
        <w:instrText xml:space="preserve"> </w:instrText>
      </w:r>
      <w:r>
        <w:instrText xml:space="preserve">PAGEREF _Toc213773557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"_Toc213773558" </w:instrText>
      </w:r>
      <w:r>
        <w:fldChar w:fldCharType="separate"/>
      </w:r>
      <w:r>
        <w:rPr>
          <w:rStyle w:val="27"/>
          <w:rFonts w:hint="eastAsia"/>
        </w:rPr>
        <w:t>引用标准名录</w:t>
      </w:r>
      <w:r>
        <w:rPr>
          <w:rFonts w:hint="eastAsia"/>
        </w:rPr>
        <w:tab/>
      </w:r>
      <w:r>
        <w:rPr>
          <w:rFonts w:hint="eastAsia"/>
        </w:rPr>
        <w:fldChar w:fldCharType="begin"/>
      </w:r>
      <w:r>
        <w:rPr>
          <w:rFonts w:hint="eastAsia"/>
        </w:rPr>
        <w:instrText xml:space="preserve"> </w:instrText>
      </w:r>
      <w:r>
        <w:instrText xml:space="preserve">PAGEREF _Toc213773558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rPr>
          <w:rFonts w:hint="eastAsia"/>
          <w:lang w:eastAsia="zh-CN"/>
        </w:rPr>
        <w:t>附：</w:t>
      </w:r>
      <w:r>
        <w:fldChar w:fldCharType="begin"/>
      </w:r>
      <w:r>
        <w:instrText xml:space="preserve"> HYPERLINK \l "_Toc213773559" </w:instrText>
      </w:r>
      <w:r>
        <w:fldChar w:fldCharType="separate"/>
      </w:r>
      <w:r>
        <w:rPr>
          <w:rStyle w:val="27"/>
          <w:rFonts w:hint="eastAsia"/>
        </w:rPr>
        <w:t>条文说明</w:t>
      </w:r>
      <w:r>
        <w:rPr>
          <w:rFonts w:hint="eastAsia"/>
        </w:rPr>
        <w:tab/>
      </w:r>
      <w:r>
        <w:rPr>
          <w:rFonts w:hint="eastAsia"/>
        </w:rPr>
        <w:fldChar w:fldCharType="begin"/>
      </w:r>
      <w:r>
        <w:rPr>
          <w:rFonts w:hint="eastAsia"/>
        </w:rPr>
        <w:instrText xml:space="preserve"> </w:instrText>
      </w:r>
      <w:r>
        <w:instrText xml:space="preserve">PAGEREF _Toc213773559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bookmarkEnd w:id="4"/>
    </w:p>
    <w:p>
      <w:pPr>
        <w:ind w:firstLine="265" w:firstLineChars="83"/>
        <w:rPr>
          <w:rFonts w:ascii="黑体" w:hAnsi="黑体" w:eastAsia="黑体"/>
          <w:sz w:val="32"/>
          <w:szCs w:val="24"/>
        </w:rPr>
      </w:pPr>
      <w:r>
        <w:rPr>
          <w:rFonts w:hint="eastAsia" w:ascii="黑体" w:hAnsi="黑体" w:eastAsia="黑体"/>
          <w:sz w:val="32"/>
          <w:szCs w:val="24"/>
        </w:rPr>
        <w:fldChar w:fldCharType="end"/>
      </w:r>
    </w:p>
    <w:p>
      <w:pPr>
        <w:ind w:firstLine="265" w:firstLineChars="83"/>
        <w:rPr>
          <w:rFonts w:ascii="黑体" w:hAnsi="黑体" w:eastAsia="黑体"/>
          <w:sz w:val="32"/>
          <w:szCs w:val="24"/>
        </w:rPr>
      </w:pPr>
    </w:p>
    <w:p>
      <w:pPr>
        <w:ind w:firstLine="199" w:firstLineChars="83"/>
        <w:sectPr>
          <w:footerReference r:id="rId23" w:type="default"/>
          <w:pgSz w:w="11906" w:h="16838"/>
          <w:pgMar w:top="1440" w:right="1800" w:bottom="1440" w:left="1800" w:header="851" w:footer="992" w:gutter="0"/>
          <w:pgNumType w:start="1"/>
          <w:cols w:space="425" w:num="1"/>
          <w:docGrid w:type="lines" w:linePitch="312" w:charSpace="0"/>
        </w:sectPr>
      </w:pPr>
    </w:p>
    <w:p>
      <w:pPr>
        <w:spacing w:before="480" w:after="120" w:line="360" w:lineRule="auto"/>
        <w:ind w:firstLine="0" w:firstLineChars="0"/>
        <w:jc w:val="center"/>
        <w:rPr>
          <w:rFonts w:eastAsia="黑体" w:cs="Times New Roman"/>
          <w:b/>
          <w:bCs/>
          <w:sz w:val="32"/>
          <w:szCs w:val="24"/>
        </w:rPr>
      </w:pPr>
      <w:r>
        <w:rPr>
          <w:rFonts w:eastAsia="黑体" w:cs="Times New Roman"/>
          <w:b/>
          <w:bCs/>
          <w:sz w:val="32"/>
          <w:szCs w:val="24"/>
        </w:rPr>
        <w:t>Contents</w:t>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"_Toc213773524" </w:instrText>
      </w:r>
      <w:r>
        <w:fldChar w:fldCharType="separate"/>
      </w:r>
      <w:r>
        <w:rPr>
          <w:rStyle w:val="27"/>
          <w:rFonts w:hint="eastAsia"/>
          <w:color w:val="auto"/>
          <w:u w:val="none"/>
        </w:rPr>
        <w:t xml:space="preserve">1  </w:t>
      </w:r>
      <w:r>
        <w:rPr>
          <w:rStyle w:val="27"/>
          <w:color w:val="auto"/>
          <w:u w:val="none"/>
        </w:rPr>
        <w:t>General provisions</w:t>
      </w:r>
      <w:r>
        <w:rPr>
          <w:rFonts w:hint="eastAsia"/>
        </w:rPr>
        <w:tab/>
      </w:r>
      <w:r>
        <w:rPr>
          <w:rFonts w:hint="eastAsia"/>
        </w:rPr>
        <w:fldChar w:fldCharType="begin"/>
      </w:r>
      <w:r>
        <w:rPr>
          <w:rFonts w:hint="eastAsia"/>
        </w:rPr>
        <w:instrText xml:space="preserve"> </w:instrText>
      </w:r>
      <w:r>
        <w:instrText xml:space="preserve">PAGEREF _Toc213773524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"_Toc213773525" </w:instrText>
      </w:r>
      <w:r>
        <w:fldChar w:fldCharType="separate"/>
      </w:r>
      <w:r>
        <w:rPr>
          <w:rStyle w:val="27"/>
          <w:rFonts w:hint="eastAsia"/>
          <w:color w:val="auto"/>
          <w:u w:val="none"/>
        </w:rPr>
        <w:t xml:space="preserve">2  </w:t>
      </w:r>
      <w:r>
        <w:rPr>
          <w:rStyle w:val="27"/>
          <w:color w:val="auto"/>
          <w:u w:val="none"/>
        </w:rPr>
        <w:t>Terms and Symbols</w:t>
      </w:r>
      <w:r>
        <w:rPr>
          <w:rFonts w:hint="eastAsia"/>
        </w:rPr>
        <w:tab/>
      </w:r>
      <w:r>
        <w:rPr>
          <w:rFonts w:hint="eastAsia"/>
        </w:rPr>
        <w:fldChar w:fldCharType="begin"/>
      </w:r>
      <w:r>
        <w:rPr>
          <w:rFonts w:hint="eastAsia"/>
        </w:rPr>
        <w:instrText xml:space="preserve"> </w:instrText>
      </w:r>
      <w:r>
        <w:instrText xml:space="preserve">PAGEREF _Toc213773525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"_Toc213773526" </w:instrText>
      </w:r>
      <w:r>
        <w:fldChar w:fldCharType="separate"/>
      </w:r>
      <w:r>
        <w:rPr>
          <w:rStyle w:val="27"/>
          <w:rFonts w:hint="eastAsia"/>
          <w:color w:val="auto"/>
          <w:u w:val="none"/>
        </w:rPr>
        <w:t xml:space="preserve">2.1  </w:t>
      </w:r>
      <w:r>
        <w:rPr>
          <w:rStyle w:val="27"/>
          <w:color w:val="auto"/>
          <w:u w:val="none"/>
        </w:rPr>
        <w:t>Terms</w:t>
      </w:r>
      <w:r>
        <w:rPr>
          <w:rFonts w:hint="eastAsia"/>
        </w:rPr>
        <w:tab/>
      </w:r>
      <w:r>
        <w:rPr>
          <w:rFonts w:hint="eastAsia"/>
        </w:rPr>
        <w:fldChar w:fldCharType="begin"/>
      </w:r>
      <w:r>
        <w:rPr>
          <w:rFonts w:hint="eastAsia"/>
        </w:rPr>
        <w:instrText xml:space="preserve"> </w:instrText>
      </w:r>
      <w:r>
        <w:instrText xml:space="preserve">PAGEREF _Toc213773526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"_Toc213773527" </w:instrText>
      </w:r>
      <w:r>
        <w:fldChar w:fldCharType="separate"/>
      </w:r>
      <w:r>
        <w:rPr>
          <w:rStyle w:val="27"/>
          <w:rFonts w:hint="eastAsia"/>
          <w:color w:val="auto"/>
          <w:u w:val="none"/>
        </w:rPr>
        <w:t xml:space="preserve">2.2  </w:t>
      </w:r>
      <w:r>
        <w:rPr>
          <w:rStyle w:val="27"/>
          <w:color w:val="auto"/>
          <w:u w:val="none"/>
        </w:rPr>
        <w:t>Symbols</w:t>
      </w:r>
      <w:r>
        <w:rPr>
          <w:rFonts w:hint="eastAsia"/>
        </w:rPr>
        <w:tab/>
      </w:r>
      <w:r>
        <w:rPr>
          <w:rFonts w:hint="eastAsia"/>
        </w:rPr>
        <w:fldChar w:fldCharType="begin"/>
      </w:r>
      <w:r>
        <w:rPr>
          <w:rFonts w:hint="eastAsia"/>
        </w:rPr>
        <w:instrText xml:space="preserve"> </w:instrText>
      </w:r>
      <w:r>
        <w:instrText xml:space="preserve">PAGEREF _Toc213773527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"_Toc213773528" </w:instrText>
      </w:r>
      <w:r>
        <w:fldChar w:fldCharType="separate"/>
      </w:r>
      <w:r>
        <w:rPr>
          <w:rStyle w:val="27"/>
          <w:rFonts w:hint="eastAsia"/>
          <w:color w:val="auto"/>
          <w:u w:val="none"/>
        </w:rPr>
        <w:t xml:space="preserve">3  </w:t>
      </w:r>
      <w:r>
        <w:rPr>
          <w:rStyle w:val="27"/>
          <w:color w:val="auto"/>
          <w:u w:val="none"/>
        </w:rPr>
        <w:t>Basic Requirements</w:t>
      </w:r>
      <w:r>
        <w:rPr>
          <w:rFonts w:hint="eastAsia"/>
        </w:rPr>
        <w:tab/>
      </w:r>
      <w:r>
        <w:rPr>
          <w:rFonts w:hint="eastAsia"/>
        </w:rPr>
        <w:fldChar w:fldCharType="begin"/>
      </w:r>
      <w:r>
        <w:rPr>
          <w:rFonts w:hint="eastAsia"/>
        </w:rPr>
        <w:instrText xml:space="preserve"> </w:instrText>
      </w:r>
      <w:r>
        <w:instrText xml:space="preserve">PAGEREF _Toc213773528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"_Toc213773529" </w:instrText>
      </w:r>
      <w:r>
        <w:fldChar w:fldCharType="separate"/>
      </w:r>
      <w:r>
        <w:rPr>
          <w:rStyle w:val="27"/>
          <w:rFonts w:hint="eastAsia"/>
          <w:color w:val="auto"/>
          <w:u w:val="none"/>
        </w:rPr>
        <w:t xml:space="preserve">4  </w:t>
      </w:r>
      <w:r>
        <w:rPr>
          <w:rStyle w:val="27"/>
          <w:color w:val="auto"/>
          <w:u w:val="none"/>
        </w:rPr>
        <w:t>Material</w:t>
      </w:r>
      <w:r>
        <w:rPr>
          <w:rFonts w:hint="eastAsia"/>
        </w:rPr>
        <w:tab/>
      </w:r>
      <w:r>
        <w:rPr>
          <w:rFonts w:hint="eastAsia"/>
        </w:rPr>
        <w:fldChar w:fldCharType="begin"/>
      </w:r>
      <w:r>
        <w:rPr>
          <w:rFonts w:hint="eastAsia"/>
        </w:rPr>
        <w:instrText xml:space="preserve"> </w:instrText>
      </w:r>
      <w:r>
        <w:instrText xml:space="preserve">PAGEREF _Toc213773529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"_Toc213773530" </w:instrText>
      </w:r>
      <w:r>
        <w:fldChar w:fldCharType="separate"/>
      </w:r>
      <w:r>
        <w:rPr>
          <w:rStyle w:val="27"/>
          <w:rFonts w:hint="eastAsia"/>
          <w:color w:val="auto"/>
          <w:u w:val="none"/>
        </w:rPr>
        <w:t xml:space="preserve">4.1  </w:t>
      </w:r>
      <w:r>
        <w:rPr>
          <w:rStyle w:val="27"/>
          <w:color w:val="auto"/>
          <w:u w:val="none"/>
        </w:rPr>
        <w:t>Steel slag powder</w:t>
      </w:r>
      <w:r>
        <w:rPr>
          <w:rFonts w:hint="eastAsia"/>
        </w:rPr>
        <w:tab/>
      </w:r>
      <w:r>
        <w:rPr>
          <w:rFonts w:hint="eastAsia"/>
        </w:rPr>
        <w:fldChar w:fldCharType="begin"/>
      </w:r>
      <w:r>
        <w:rPr>
          <w:rFonts w:hint="eastAsia"/>
        </w:rPr>
        <w:instrText xml:space="preserve"> </w:instrText>
      </w:r>
      <w:r>
        <w:instrText xml:space="preserve">PAGEREF _Toc213773530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"_Toc213773531" </w:instrText>
      </w:r>
      <w:r>
        <w:fldChar w:fldCharType="separate"/>
      </w:r>
      <w:r>
        <w:rPr>
          <w:rStyle w:val="27"/>
          <w:rFonts w:hint="eastAsia"/>
          <w:color w:val="auto"/>
          <w:u w:val="none"/>
        </w:rPr>
        <w:t xml:space="preserve">4.2  </w:t>
      </w:r>
      <w:r>
        <w:rPr>
          <w:rStyle w:val="27"/>
          <w:color w:val="auto"/>
          <w:u w:val="none"/>
        </w:rPr>
        <w:t>Steel slag aggregate</w:t>
      </w:r>
      <w:r>
        <w:rPr>
          <w:rFonts w:hint="eastAsia"/>
        </w:rPr>
        <w:tab/>
      </w:r>
      <w:r>
        <w:rPr>
          <w:rFonts w:hint="eastAsia"/>
        </w:rPr>
        <w:fldChar w:fldCharType="begin"/>
      </w:r>
      <w:r>
        <w:rPr>
          <w:rFonts w:hint="eastAsia"/>
        </w:rPr>
        <w:instrText xml:space="preserve"> </w:instrText>
      </w:r>
      <w:r>
        <w:instrText xml:space="preserve">PAGEREF _Toc213773531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"_Toc213773532" </w:instrText>
      </w:r>
      <w:r>
        <w:fldChar w:fldCharType="separate"/>
      </w:r>
      <w:r>
        <w:rPr>
          <w:rStyle w:val="27"/>
          <w:rFonts w:hint="eastAsia"/>
          <w:color w:val="auto"/>
          <w:u w:val="none"/>
        </w:rPr>
        <w:t xml:space="preserve">4.3  </w:t>
      </w:r>
      <w:r>
        <w:rPr>
          <w:rStyle w:val="27"/>
          <w:color w:val="auto"/>
          <w:u w:val="none"/>
        </w:rPr>
        <w:t>Mineral admixtures and additives</w:t>
      </w:r>
      <w:r>
        <w:rPr>
          <w:rFonts w:hint="eastAsia"/>
        </w:rPr>
        <w:tab/>
      </w:r>
      <w:r>
        <w:rPr>
          <w:rFonts w:hint="eastAsia"/>
        </w:rPr>
        <w:fldChar w:fldCharType="begin"/>
      </w:r>
      <w:r>
        <w:rPr>
          <w:rFonts w:hint="eastAsia"/>
        </w:rPr>
        <w:instrText xml:space="preserve"> </w:instrText>
      </w:r>
      <w:r>
        <w:instrText xml:space="preserve">PAGEREF _Toc213773532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"_Toc213773533" </w:instrText>
      </w:r>
      <w:r>
        <w:fldChar w:fldCharType="separate"/>
      </w:r>
      <w:r>
        <w:rPr>
          <w:rStyle w:val="27"/>
          <w:rFonts w:hint="eastAsia"/>
          <w:color w:val="auto"/>
          <w:u w:val="none"/>
        </w:rPr>
        <w:t xml:space="preserve">5  </w:t>
      </w:r>
      <w:r>
        <w:rPr>
          <w:rStyle w:val="27"/>
          <w:color w:val="auto"/>
          <w:u w:val="none"/>
        </w:rPr>
        <w:t>Steel slag concrete mix design</w:t>
      </w:r>
      <w:r>
        <w:rPr>
          <w:rFonts w:hint="eastAsia"/>
        </w:rPr>
        <w:tab/>
      </w:r>
      <w:r>
        <w:rPr>
          <w:rFonts w:hint="eastAsia"/>
        </w:rPr>
        <w:fldChar w:fldCharType="begin"/>
      </w:r>
      <w:r>
        <w:rPr>
          <w:rFonts w:hint="eastAsia"/>
        </w:rPr>
        <w:instrText xml:space="preserve"> </w:instrText>
      </w:r>
      <w:r>
        <w:instrText xml:space="preserve">PAGEREF _Toc213773533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"_Toc213773534" </w:instrText>
      </w:r>
      <w:r>
        <w:fldChar w:fldCharType="separate"/>
      </w:r>
      <w:r>
        <w:rPr>
          <w:rStyle w:val="27"/>
          <w:rFonts w:hint="eastAsia"/>
          <w:color w:val="auto"/>
          <w:u w:val="none"/>
        </w:rPr>
        <w:t xml:space="preserve">5.1  </w:t>
      </w:r>
      <w:r>
        <w:rPr>
          <w:rStyle w:val="27"/>
          <w:color w:val="auto"/>
          <w:u w:val="none"/>
        </w:rPr>
        <w:t>General Provisions</w:t>
      </w:r>
      <w:r>
        <w:rPr>
          <w:rFonts w:hint="eastAsia"/>
        </w:rPr>
        <w:tab/>
      </w:r>
      <w:r>
        <w:rPr>
          <w:rFonts w:hint="eastAsia"/>
        </w:rPr>
        <w:fldChar w:fldCharType="begin"/>
      </w:r>
      <w:r>
        <w:rPr>
          <w:rFonts w:hint="eastAsia"/>
        </w:rPr>
        <w:instrText xml:space="preserve"> </w:instrText>
      </w:r>
      <w:r>
        <w:instrText xml:space="preserve">PAGEREF _Toc213773534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"_Toc213773535" </w:instrText>
      </w:r>
      <w:r>
        <w:fldChar w:fldCharType="separate"/>
      </w:r>
      <w:r>
        <w:rPr>
          <w:rStyle w:val="27"/>
          <w:rFonts w:hint="eastAsia"/>
          <w:color w:val="auto"/>
          <w:u w:val="none"/>
        </w:rPr>
        <w:t xml:space="preserve">5.2  </w:t>
      </w:r>
      <w:r>
        <w:rPr>
          <w:rStyle w:val="27"/>
          <w:color w:val="auto"/>
          <w:u w:val="none"/>
        </w:rPr>
        <w:t>Properties of the mixture</w:t>
      </w:r>
      <w:r>
        <w:rPr>
          <w:rFonts w:hint="eastAsia"/>
        </w:rPr>
        <w:tab/>
      </w:r>
      <w:r>
        <w:rPr>
          <w:rFonts w:hint="eastAsia"/>
        </w:rPr>
        <w:fldChar w:fldCharType="begin"/>
      </w:r>
      <w:r>
        <w:rPr>
          <w:rFonts w:hint="eastAsia"/>
        </w:rPr>
        <w:instrText xml:space="preserve"> </w:instrText>
      </w:r>
      <w:r>
        <w:instrText xml:space="preserve">PAGEREF _Toc213773535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"_Toc213773536" </w:instrText>
      </w:r>
      <w:r>
        <w:fldChar w:fldCharType="separate"/>
      </w:r>
      <w:r>
        <w:rPr>
          <w:rStyle w:val="27"/>
          <w:rFonts w:hint="eastAsia"/>
          <w:color w:val="auto"/>
          <w:u w:val="none"/>
        </w:rPr>
        <w:t xml:space="preserve">5.3  </w:t>
      </w:r>
      <w:r>
        <w:rPr>
          <w:rStyle w:val="27"/>
          <w:color w:val="auto"/>
          <w:u w:val="none"/>
        </w:rPr>
        <w:t>Mechanical properties</w:t>
      </w:r>
      <w:r>
        <w:rPr>
          <w:rFonts w:hint="eastAsia"/>
        </w:rPr>
        <w:tab/>
      </w:r>
      <w:r>
        <w:rPr>
          <w:rFonts w:hint="eastAsia"/>
        </w:rPr>
        <w:fldChar w:fldCharType="begin"/>
      </w:r>
      <w:r>
        <w:rPr>
          <w:rFonts w:hint="eastAsia"/>
        </w:rPr>
        <w:instrText xml:space="preserve"> </w:instrText>
      </w:r>
      <w:r>
        <w:instrText xml:space="preserve">PAGEREF _Toc213773536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"_Toc213773537" </w:instrText>
      </w:r>
      <w:r>
        <w:fldChar w:fldCharType="separate"/>
      </w:r>
      <w:r>
        <w:rPr>
          <w:rStyle w:val="27"/>
          <w:rFonts w:hint="eastAsia"/>
          <w:color w:val="auto"/>
          <w:u w:val="none"/>
        </w:rPr>
        <w:t xml:space="preserve">5.4  </w:t>
      </w:r>
      <w:r>
        <w:rPr>
          <w:rStyle w:val="27"/>
          <w:color w:val="auto"/>
          <w:u w:val="none"/>
        </w:rPr>
        <w:t>Determination of the mix design strength of steel slag concrete</w:t>
      </w:r>
      <w:r>
        <w:rPr>
          <w:rFonts w:hint="eastAsia"/>
        </w:rPr>
        <w:tab/>
      </w:r>
      <w:r>
        <w:rPr>
          <w:rFonts w:hint="eastAsia"/>
        </w:rPr>
        <w:fldChar w:fldCharType="begin"/>
      </w:r>
      <w:r>
        <w:rPr>
          <w:rFonts w:hint="eastAsia"/>
        </w:rPr>
        <w:instrText xml:space="preserve"> </w:instrText>
      </w:r>
      <w:r>
        <w:instrText xml:space="preserve">PAGEREF _Toc213773537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"_Toc213773538" </w:instrText>
      </w:r>
      <w:r>
        <w:fldChar w:fldCharType="separate"/>
      </w:r>
      <w:r>
        <w:rPr>
          <w:rStyle w:val="27"/>
          <w:rFonts w:hint="eastAsia"/>
          <w:color w:val="auto"/>
          <w:u w:val="none"/>
        </w:rPr>
        <w:t xml:space="preserve">5.5  </w:t>
      </w:r>
      <w:r>
        <w:rPr>
          <w:rStyle w:val="27"/>
          <w:color w:val="auto"/>
          <w:u w:val="none"/>
        </w:rPr>
        <w:t>Adjustment and determination of steel slag concrete mix proportion</w:t>
      </w:r>
      <w:r>
        <w:rPr>
          <w:rFonts w:hint="eastAsia"/>
        </w:rPr>
        <w:tab/>
      </w:r>
      <w:r>
        <w:rPr>
          <w:rFonts w:hint="eastAsia"/>
        </w:rPr>
        <w:fldChar w:fldCharType="begin"/>
      </w:r>
      <w:r>
        <w:rPr>
          <w:rFonts w:hint="eastAsia"/>
        </w:rPr>
        <w:instrText xml:space="preserve"> </w:instrText>
      </w:r>
      <w:r>
        <w:instrText xml:space="preserve">PAGEREF _Toc213773538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"_Toc213773539" </w:instrText>
      </w:r>
      <w:r>
        <w:fldChar w:fldCharType="separate"/>
      </w:r>
      <w:r>
        <w:rPr>
          <w:rStyle w:val="27"/>
          <w:rFonts w:hint="eastAsia"/>
          <w:color w:val="auto"/>
          <w:u w:val="none"/>
        </w:rPr>
        <w:t xml:space="preserve">5.6  </w:t>
      </w:r>
      <w:r>
        <w:rPr>
          <w:rStyle w:val="27"/>
          <w:color w:val="auto"/>
          <w:u w:val="none"/>
        </w:rPr>
        <w:t>Durability</w:t>
      </w:r>
      <w:r>
        <w:rPr>
          <w:rFonts w:hint="eastAsia"/>
        </w:rPr>
        <w:tab/>
      </w:r>
      <w:r>
        <w:rPr>
          <w:rFonts w:hint="eastAsia"/>
        </w:rPr>
        <w:fldChar w:fldCharType="begin"/>
      </w:r>
      <w:r>
        <w:rPr>
          <w:rFonts w:hint="eastAsia"/>
        </w:rPr>
        <w:instrText xml:space="preserve"> </w:instrText>
      </w:r>
      <w:r>
        <w:instrText xml:space="preserve">PAGEREF _Toc213773539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"_Toc213773540" </w:instrText>
      </w:r>
      <w:r>
        <w:fldChar w:fldCharType="separate"/>
      </w:r>
      <w:r>
        <w:rPr>
          <w:rStyle w:val="27"/>
          <w:rFonts w:hint="eastAsia"/>
          <w:color w:val="auto"/>
          <w:u w:val="none"/>
        </w:rPr>
        <w:t xml:space="preserve">6  </w:t>
      </w:r>
      <w:r>
        <w:rPr>
          <w:rStyle w:val="27"/>
          <w:color w:val="auto"/>
          <w:u w:val="none"/>
        </w:rPr>
        <w:t>Steel slag concrete pile composite foundation design</w:t>
      </w:r>
      <w:r>
        <w:rPr>
          <w:rFonts w:hint="eastAsia"/>
        </w:rPr>
        <w:tab/>
      </w:r>
      <w:r>
        <w:rPr>
          <w:rFonts w:hint="eastAsia"/>
        </w:rPr>
        <w:fldChar w:fldCharType="begin"/>
      </w:r>
      <w:r>
        <w:rPr>
          <w:rFonts w:hint="eastAsia"/>
        </w:rPr>
        <w:instrText xml:space="preserve"> </w:instrText>
      </w:r>
      <w:r>
        <w:instrText xml:space="preserve">PAGEREF _Toc213773540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"_Toc213773541" </w:instrText>
      </w:r>
      <w:r>
        <w:fldChar w:fldCharType="separate"/>
      </w:r>
      <w:r>
        <w:rPr>
          <w:rStyle w:val="27"/>
          <w:rFonts w:hint="eastAsia"/>
          <w:color w:val="auto"/>
          <w:u w:val="none"/>
        </w:rPr>
        <w:t xml:space="preserve">6.1  </w:t>
      </w:r>
      <w:r>
        <w:rPr>
          <w:rStyle w:val="27"/>
          <w:color w:val="auto"/>
          <w:u w:val="none"/>
        </w:rPr>
        <w:t>General Provisions</w:t>
      </w:r>
      <w:r>
        <w:rPr>
          <w:rFonts w:hint="eastAsia"/>
        </w:rPr>
        <w:tab/>
      </w:r>
      <w:r>
        <w:rPr>
          <w:rFonts w:hint="eastAsia"/>
        </w:rPr>
        <w:fldChar w:fldCharType="begin"/>
      </w:r>
      <w:r>
        <w:rPr>
          <w:rFonts w:hint="eastAsia"/>
        </w:rPr>
        <w:instrText xml:space="preserve"> </w:instrText>
      </w:r>
      <w:r>
        <w:instrText xml:space="preserve">PAGEREF _Toc213773541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"_Toc213773542" </w:instrText>
      </w:r>
      <w:r>
        <w:fldChar w:fldCharType="separate"/>
      </w:r>
      <w:r>
        <w:rPr>
          <w:rStyle w:val="27"/>
          <w:rFonts w:hint="eastAsia"/>
          <w:color w:val="auto"/>
          <w:u w:val="none"/>
        </w:rPr>
        <w:t xml:space="preserve">6.2  </w:t>
      </w:r>
      <w:r>
        <w:rPr>
          <w:rStyle w:val="27"/>
          <w:color w:val="auto"/>
          <w:u w:val="none"/>
        </w:rPr>
        <w:t>Design Requirements</w:t>
      </w:r>
      <w:r>
        <w:rPr>
          <w:rFonts w:hint="eastAsia"/>
        </w:rPr>
        <w:tab/>
      </w:r>
      <w:r>
        <w:rPr>
          <w:rFonts w:hint="eastAsia"/>
        </w:rPr>
        <w:fldChar w:fldCharType="begin"/>
      </w:r>
      <w:r>
        <w:rPr>
          <w:rFonts w:hint="eastAsia"/>
        </w:rPr>
        <w:instrText xml:space="preserve"> </w:instrText>
      </w:r>
      <w:r>
        <w:instrText xml:space="preserve">PAGEREF _Toc213773542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"_Toc213773543" </w:instrText>
      </w:r>
      <w:r>
        <w:fldChar w:fldCharType="separate"/>
      </w:r>
      <w:r>
        <w:rPr>
          <w:rStyle w:val="27"/>
          <w:rFonts w:hint="eastAsia"/>
          <w:color w:val="auto"/>
          <w:u w:val="none"/>
        </w:rPr>
        <w:t xml:space="preserve">6.3  </w:t>
      </w:r>
      <w:r>
        <w:rPr>
          <w:rStyle w:val="27"/>
          <w:color w:val="auto"/>
          <w:u w:val="none"/>
        </w:rPr>
        <w:t>Bearing capacity calculation</w:t>
      </w:r>
      <w:r>
        <w:rPr>
          <w:rFonts w:hint="eastAsia"/>
        </w:rPr>
        <w:tab/>
      </w:r>
      <w:r>
        <w:rPr>
          <w:rFonts w:hint="eastAsia"/>
        </w:rPr>
        <w:fldChar w:fldCharType="begin"/>
      </w:r>
      <w:r>
        <w:rPr>
          <w:rFonts w:hint="eastAsia"/>
        </w:rPr>
        <w:instrText xml:space="preserve"> </w:instrText>
      </w:r>
      <w:r>
        <w:instrText xml:space="preserve">PAGEREF _Toc213773543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"_Toc213773544" </w:instrText>
      </w:r>
      <w:r>
        <w:fldChar w:fldCharType="separate"/>
      </w:r>
      <w:r>
        <w:rPr>
          <w:rStyle w:val="27"/>
          <w:rFonts w:hint="eastAsia"/>
          <w:color w:val="auto"/>
          <w:u w:val="none"/>
        </w:rPr>
        <w:t xml:space="preserve">6.4  </w:t>
      </w:r>
      <w:r>
        <w:rPr>
          <w:rStyle w:val="27"/>
          <w:color w:val="auto"/>
          <w:u w:val="none"/>
        </w:rPr>
        <w:t>Deformation calculation</w:t>
      </w:r>
      <w:r>
        <w:rPr>
          <w:rFonts w:hint="eastAsia"/>
        </w:rPr>
        <w:tab/>
      </w:r>
      <w:r>
        <w:rPr>
          <w:rFonts w:hint="eastAsia"/>
        </w:rPr>
        <w:fldChar w:fldCharType="begin"/>
      </w:r>
      <w:r>
        <w:rPr>
          <w:rFonts w:hint="eastAsia"/>
        </w:rPr>
        <w:instrText xml:space="preserve"> </w:instrText>
      </w:r>
      <w:r>
        <w:instrText xml:space="preserve">PAGEREF _Toc213773544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"_Toc213773545" </w:instrText>
      </w:r>
      <w:r>
        <w:fldChar w:fldCharType="separate"/>
      </w:r>
      <w:r>
        <w:rPr>
          <w:rStyle w:val="27"/>
          <w:rFonts w:hint="eastAsia"/>
          <w:color w:val="auto"/>
          <w:u w:val="none"/>
        </w:rPr>
        <w:t>7  C</w:t>
      </w:r>
      <w:r>
        <w:rPr>
          <w:rStyle w:val="27"/>
          <w:color w:val="auto"/>
          <w:u w:val="none"/>
        </w:rPr>
        <w:t>onstruction</w:t>
      </w:r>
      <w:r>
        <w:rPr>
          <w:rFonts w:hint="eastAsia"/>
        </w:rPr>
        <w:tab/>
      </w:r>
      <w:r>
        <w:rPr>
          <w:rFonts w:hint="eastAsia"/>
        </w:rPr>
        <w:fldChar w:fldCharType="begin"/>
      </w:r>
      <w:r>
        <w:rPr>
          <w:rFonts w:hint="eastAsia"/>
        </w:rPr>
        <w:instrText xml:space="preserve"> </w:instrText>
      </w:r>
      <w:r>
        <w:instrText xml:space="preserve">PAGEREF _Toc213773545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"_Toc213773546" </w:instrText>
      </w:r>
      <w:r>
        <w:fldChar w:fldCharType="separate"/>
      </w:r>
      <w:r>
        <w:rPr>
          <w:rStyle w:val="27"/>
          <w:rFonts w:hint="eastAsia"/>
          <w:color w:val="auto"/>
          <w:u w:val="none"/>
        </w:rPr>
        <w:t xml:space="preserve">7.1  </w:t>
      </w:r>
      <w:r>
        <w:rPr>
          <w:rStyle w:val="27"/>
          <w:color w:val="auto"/>
          <w:u w:val="none"/>
        </w:rPr>
        <w:t>General Provisions</w:t>
      </w:r>
      <w:r>
        <w:rPr>
          <w:rFonts w:hint="eastAsia"/>
        </w:rPr>
        <w:tab/>
      </w:r>
      <w:r>
        <w:rPr>
          <w:rFonts w:hint="eastAsia"/>
        </w:rPr>
        <w:fldChar w:fldCharType="begin"/>
      </w:r>
      <w:r>
        <w:rPr>
          <w:rFonts w:hint="eastAsia"/>
        </w:rPr>
        <w:instrText xml:space="preserve"> </w:instrText>
      </w:r>
      <w:r>
        <w:instrText xml:space="preserve">PAGEREF _Toc213773546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"_Toc213773547" </w:instrText>
      </w:r>
      <w:r>
        <w:fldChar w:fldCharType="separate"/>
      </w:r>
      <w:r>
        <w:rPr>
          <w:rStyle w:val="27"/>
          <w:rFonts w:hint="eastAsia"/>
          <w:color w:val="auto"/>
          <w:u w:val="none"/>
        </w:rPr>
        <w:t xml:space="preserve">7.2  </w:t>
      </w:r>
      <w:r>
        <w:rPr>
          <w:rStyle w:val="27"/>
          <w:color w:val="auto"/>
          <w:u w:val="none"/>
        </w:rPr>
        <w:t>Construction organization and preparation</w:t>
      </w:r>
      <w:r>
        <w:rPr>
          <w:rFonts w:hint="eastAsia"/>
        </w:rPr>
        <w:tab/>
      </w:r>
      <w:r>
        <w:rPr>
          <w:rFonts w:hint="eastAsia"/>
        </w:rPr>
        <w:fldChar w:fldCharType="begin"/>
      </w:r>
      <w:r>
        <w:rPr>
          <w:rFonts w:hint="eastAsia"/>
        </w:rPr>
        <w:instrText xml:space="preserve"> </w:instrText>
      </w:r>
      <w:r>
        <w:instrText xml:space="preserve">PAGEREF _Toc213773547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"_Toc213773548" </w:instrText>
      </w:r>
      <w:r>
        <w:fldChar w:fldCharType="separate"/>
      </w:r>
      <w:r>
        <w:rPr>
          <w:rStyle w:val="27"/>
          <w:rFonts w:hint="eastAsia"/>
          <w:color w:val="auto"/>
          <w:u w:val="none"/>
        </w:rPr>
        <w:t xml:space="preserve">7.3  </w:t>
      </w:r>
      <w:r>
        <w:rPr>
          <w:rStyle w:val="27"/>
          <w:color w:val="auto"/>
          <w:u w:val="none"/>
        </w:rPr>
        <w:t>Vibratory driven pile construction</w:t>
      </w:r>
      <w:r>
        <w:rPr>
          <w:rFonts w:hint="eastAsia"/>
        </w:rPr>
        <w:tab/>
      </w:r>
      <w:r>
        <w:rPr>
          <w:rFonts w:hint="eastAsia"/>
        </w:rPr>
        <w:fldChar w:fldCharType="begin"/>
      </w:r>
      <w:r>
        <w:rPr>
          <w:rFonts w:hint="eastAsia"/>
        </w:rPr>
        <w:instrText xml:space="preserve"> </w:instrText>
      </w:r>
      <w:r>
        <w:instrText xml:space="preserve">PAGEREF _Toc213773548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"_Toc213773549" </w:instrText>
      </w:r>
      <w:r>
        <w:fldChar w:fldCharType="separate"/>
      </w:r>
      <w:r>
        <w:rPr>
          <w:rStyle w:val="27"/>
          <w:rFonts w:hint="eastAsia"/>
          <w:color w:val="auto"/>
          <w:u w:val="none"/>
        </w:rPr>
        <w:t xml:space="preserve">7.4  </w:t>
      </w:r>
      <w:r>
        <w:rPr>
          <w:rStyle w:val="27"/>
          <w:color w:val="auto"/>
          <w:u w:val="none"/>
        </w:rPr>
        <w:t>Long spiral drilling rig pile construction</w:t>
      </w:r>
      <w:r>
        <w:rPr>
          <w:rFonts w:hint="eastAsia"/>
        </w:rPr>
        <w:tab/>
      </w:r>
      <w:r>
        <w:rPr>
          <w:rFonts w:hint="eastAsia"/>
        </w:rPr>
        <w:fldChar w:fldCharType="begin"/>
      </w:r>
      <w:r>
        <w:rPr>
          <w:rFonts w:hint="eastAsia"/>
        </w:rPr>
        <w:instrText xml:space="preserve"> </w:instrText>
      </w:r>
      <w:r>
        <w:instrText xml:space="preserve">PAGEREF _Toc213773549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"_Toc213773550" </w:instrText>
      </w:r>
      <w:r>
        <w:fldChar w:fldCharType="separate"/>
      </w:r>
      <w:r>
        <w:rPr>
          <w:rStyle w:val="27"/>
          <w:rFonts w:hint="eastAsia"/>
          <w:color w:val="auto"/>
          <w:u w:val="none"/>
        </w:rPr>
        <w:t xml:space="preserve">7.5  </w:t>
      </w:r>
      <w:r>
        <w:rPr>
          <w:rStyle w:val="27"/>
          <w:color w:val="auto"/>
          <w:u w:val="none"/>
        </w:rPr>
        <w:t>Mattress padding construction</w:t>
      </w:r>
      <w:r>
        <w:rPr>
          <w:rFonts w:hint="eastAsia"/>
        </w:rPr>
        <w:tab/>
      </w:r>
      <w:r>
        <w:rPr>
          <w:rFonts w:hint="eastAsia"/>
        </w:rPr>
        <w:fldChar w:fldCharType="begin"/>
      </w:r>
      <w:r>
        <w:rPr>
          <w:rFonts w:hint="eastAsia"/>
        </w:rPr>
        <w:instrText xml:space="preserve"> </w:instrText>
      </w:r>
      <w:r>
        <w:instrText xml:space="preserve">PAGEREF _Toc213773550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"_Toc213773551" </w:instrText>
      </w:r>
      <w:r>
        <w:fldChar w:fldCharType="separate"/>
      </w:r>
      <w:r>
        <w:rPr>
          <w:rStyle w:val="27"/>
          <w:rFonts w:hint="eastAsia"/>
          <w:color w:val="auto"/>
          <w:u w:val="none"/>
        </w:rPr>
        <w:t xml:space="preserve">8  </w:t>
      </w:r>
      <w:r>
        <w:rPr>
          <w:rStyle w:val="27"/>
          <w:color w:val="auto"/>
          <w:u w:val="none"/>
        </w:rPr>
        <w:t>Quality Inspection and Acceptance</w:t>
      </w:r>
      <w:r>
        <w:rPr>
          <w:rFonts w:hint="eastAsia"/>
        </w:rPr>
        <w:tab/>
      </w:r>
      <w:r>
        <w:rPr>
          <w:rFonts w:hint="eastAsia"/>
        </w:rPr>
        <w:fldChar w:fldCharType="begin"/>
      </w:r>
      <w:r>
        <w:rPr>
          <w:rFonts w:hint="eastAsia"/>
        </w:rPr>
        <w:instrText xml:space="preserve"> </w:instrText>
      </w:r>
      <w:r>
        <w:instrText xml:space="preserve">PAGEREF _Toc213773551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"_Toc213773552" </w:instrText>
      </w:r>
      <w:r>
        <w:fldChar w:fldCharType="separate"/>
      </w:r>
      <w:r>
        <w:rPr>
          <w:rStyle w:val="27"/>
          <w:rFonts w:hint="eastAsia"/>
          <w:color w:val="auto"/>
          <w:u w:val="none"/>
        </w:rPr>
        <w:t xml:space="preserve">8.1  </w:t>
      </w:r>
      <w:r>
        <w:rPr>
          <w:rStyle w:val="27"/>
          <w:color w:val="auto"/>
          <w:u w:val="none"/>
        </w:rPr>
        <w:t>General Provisions</w:t>
      </w:r>
      <w:r>
        <w:rPr>
          <w:rFonts w:hint="eastAsia"/>
        </w:rPr>
        <w:tab/>
      </w:r>
      <w:r>
        <w:rPr>
          <w:rFonts w:hint="eastAsia"/>
        </w:rPr>
        <w:fldChar w:fldCharType="begin"/>
      </w:r>
      <w:r>
        <w:rPr>
          <w:rFonts w:hint="eastAsia"/>
        </w:rPr>
        <w:instrText xml:space="preserve"> </w:instrText>
      </w:r>
      <w:r>
        <w:instrText xml:space="preserve">PAGEREF _Toc213773552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"_Toc213773553" </w:instrText>
      </w:r>
      <w:r>
        <w:fldChar w:fldCharType="separate"/>
      </w:r>
      <w:r>
        <w:rPr>
          <w:rStyle w:val="27"/>
          <w:rFonts w:hint="eastAsia"/>
          <w:color w:val="auto"/>
          <w:u w:val="none"/>
        </w:rPr>
        <w:t xml:space="preserve">8.2  </w:t>
      </w:r>
      <w:r>
        <w:rPr>
          <w:rStyle w:val="27"/>
          <w:color w:val="auto"/>
          <w:u w:val="none"/>
        </w:rPr>
        <w:t>Composite foundation testing</w:t>
      </w:r>
      <w:r>
        <w:rPr>
          <w:rFonts w:hint="eastAsia"/>
        </w:rPr>
        <w:tab/>
      </w:r>
      <w:r>
        <w:rPr>
          <w:rFonts w:hint="eastAsia"/>
        </w:rPr>
        <w:fldChar w:fldCharType="begin"/>
      </w:r>
      <w:r>
        <w:rPr>
          <w:rFonts w:hint="eastAsia"/>
        </w:rPr>
        <w:instrText xml:space="preserve"> </w:instrText>
      </w:r>
      <w:r>
        <w:instrText xml:space="preserve">PAGEREF _Toc213773553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"_Toc213773554" </w:instrText>
      </w:r>
      <w:r>
        <w:fldChar w:fldCharType="separate"/>
      </w:r>
      <w:r>
        <w:rPr>
          <w:rStyle w:val="27"/>
          <w:rFonts w:hint="eastAsia"/>
          <w:color w:val="auto"/>
          <w:u w:val="none"/>
        </w:rPr>
        <w:t xml:space="preserve">8.3  </w:t>
      </w:r>
      <w:r>
        <w:rPr>
          <w:rStyle w:val="27"/>
          <w:color w:val="auto"/>
          <w:u w:val="none"/>
        </w:rPr>
        <w:t>Steel slag concrete pile testing</w:t>
      </w:r>
      <w:r>
        <w:rPr>
          <w:rFonts w:hint="eastAsia"/>
        </w:rPr>
        <w:tab/>
      </w:r>
      <w:r>
        <w:rPr>
          <w:rFonts w:hint="eastAsia"/>
        </w:rPr>
        <w:fldChar w:fldCharType="begin"/>
      </w:r>
      <w:r>
        <w:rPr>
          <w:rFonts w:hint="eastAsia"/>
        </w:rPr>
        <w:instrText xml:space="preserve"> </w:instrText>
      </w:r>
      <w:r>
        <w:instrText xml:space="preserve">PAGEREF _Toc213773554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"_Toc213773555" </w:instrText>
      </w:r>
      <w:r>
        <w:fldChar w:fldCharType="separate"/>
      </w:r>
      <w:r>
        <w:rPr>
          <w:rStyle w:val="27"/>
          <w:rFonts w:hint="eastAsia"/>
          <w:color w:val="auto"/>
          <w:u w:val="none"/>
        </w:rPr>
        <w:t xml:space="preserve">8.4  </w:t>
      </w:r>
      <w:r>
        <w:rPr>
          <w:rStyle w:val="27"/>
          <w:color w:val="auto"/>
          <w:u w:val="none"/>
        </w:rPr>
        <w:t>Validation and Expansion Testing</w:t>
      </w:r>
      <w:r>
        <w:rPr>
          <w:rFonts w:hint="eastAsia"/>
        </w:rPr>
        <w:tab/>
      </w:r>
      <w:r>
        <w:rPr>
          <w:rFonts w:hint="eastAsia"/>
        </w:rPr>
        <w:fldChar w:fldCharType="begin"/>
      </w:r>
      <w:r>
        <w:rPr>
          <w:rFonts w:hint="eastAsia"/>
        </w:rPr>
        <w:instrText xml:space="preserve"> </w:instrText>
      </w:r>
      <w:r>
        <w:instrText xml:space="preserve">PAGEREF _Toc213773555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"_Toc213773556" </w:instrText>
      </w:r>
      <w:r>
        <w:fldChar w:fldCharType="separate"/>
      </w:r>
      <w:r>
        <w:rPr>
          <w:rStyle w:val="27"/>
          <w:rFonts w:hint="eastAsia"/>
          <w:color w:val="auto"/>
          <w:u w:val="none"/>
          <w:lang w:bidi="ar"/>
        </w:rPr>
        <w:t xml:space="preserve">8.5  </w:t>
      </w:r>
      <w:r>
        <w:rPr>
          <w:rStyle w:val="27"/>
          <w:color w:val="auto"/>
          <w:u w:val="none"/>
          <w:lang w:bidi="ar"/>
        </w:rPr>
        <w:t>Test result evaluation and test report</w:t>
      </w:r>
      <w:r>
        <w:rPr>
          <w:rFonts w:hint="eastAsia"/>
        </w:rPr>
        <w:tab/>
      </w:r>
      <w:r>
        <w:rPr>
          <w:rFonts w:hint="eastAsia"/>
        </w:rPr>
        <w:fldChar w:fldCharType="begin"/>
      </w:r>
      <w:r>
        <w:rPr>
          <w:rFonts w:hint="eastAsia"/>
        </w:rPr>
        <w:instrText xml:space="preserve"> </w:instrText>
      </w:r>
      <w:r>
        <w:instrText xml:space="preserve">PAGEREF _Toc213773556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rPr>
          <w:rStyle w:val="27"/>
          <w:rFonts w:hint="eastAsia"/>
          <w:color w:val="auto"/>
          <w:u w:val="none"/>
        </w:rPr>
        <w:t>E</w:t>
      </w:r>
      <w:r>
        <w:fldChar w:fldCharType="begin"/>
      </w:r>
      <w:r>
        <w:instrText xml:space="preserve"> HYPERLINK \l "_Toc213773557" </w:instrText>
      </w:r>
      <w:r>
        <w:fldChar w:fldCharType="separate"/>
      </w:r>
      <w:r>
        <w:rPr>
          <w:rStyle w:val="27"/>
          <w:color w:val="auto"/>
          <w:u w:val="none"/>
        </w:rPr>
        <w:t>xplanation of Terms Used in This Standard</w:t>
      </w:r>
      <w:r>
        <w:rPr>
          <w:rFonts w:hint="eastAsia"/>
        </w:rPr>
        <w:tab/>
      </w:r>
      <w:r>
        <w:rPr>
          <w:rFonts w:hint="eastAsia"/>
        </w:rPr>
        <w:fldChar w:fldCharType="begin"/>
      </w:r>
      <w:r>
        <w:rPr>
          <w:rFonts w:hint="eastAsia"/>
        </w:rPr>
        <w:instrText xml:space="preserve"> </w:instrText>
      </w:r>
      <w:r>
        <w:instrText xml:space="preserve">PAGEREF _Toc213773557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rPr>
          <w:rStyle w:val="27"/>
          <w:rFonts w:hint="eastAsia"/>
          <w:color w:val="auto"/>
          <w:u w:val="none"/>
        </w:rPr>
        <w:t>L</w:t>
      </w:r>
      <w:r>
        <w:fldChar w:fldCharType="begin"/>
      </w:r>
      <w:r>
        <w:instrText xml:space="preserve"> HYPERLINK \l "_Toc213773558" </w:instrText>
      </w:r>
      <w:r>
        <w:fldChar w:fldCharType="separate"/>
      </w:r>
      <w:r>
        <w:rPr>
          <w:rStyle w:val="27"/>
          <w:color w:val="auto"/>
          <w:u w:val="none"/>
        </w:rPr>
        <w:t>ist of Quoted Standards</w:t>
      </w:r>
      <w:r>
        <w:rPr>
          <w:rFonts w:hint="eastAsia"/>
        </w:rPr>
        <w:tab/>
      </w:r>
      <w:r>
        <w:rPr>
          <w:rFonts w:hint="eastAsia"/>
        </w:rPr>
        <w:fldChar w:fldCharType="begin"/>
      </w:r>
      <w:r>
        <w:rPr>
          <w:rFonts w:hint="eastAsia"/>
        </w:rPr>
        <w:instrText xml:space="preserve"> </w:instrText>
      </w:r>
      <w:r>
        <w:instrText xml:space="preserve">PAGEREF _Toc213773558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pPr>
        <w:pStyle w:val="18"/>
        <w:tabs>
          <w:tab w:val="right" w:leader="dot" w:pos="8296"/>
        </w:tabs>
      </w:pPr>
      <w:r>
        <w:rPr>
          <w:rStyle w:val="27"/>
          <w:rFonts w:hint="eastAsia"/>
          <w:color w:val="auto"/>
          <w:u w:val="none"/>
        </w:rPr>
        <w:t>E</w:t>
      </w:r>
      <w:r>
        <w:fldChar w:fldCharType="begin"/>
      </w:r>
      <w:r>
        <w:instrText xml:space="preserve"> HYPERLINK \l "_Toc213773559" </w:instrText>
      </w:r>
      <w:r>
        <w:fldChar w:fldCharType="separate"/>
      </w:r>
      <w:r>
        <w:rPr>
          <w:rStyle w:val="27"/>
          <w:color w:val="auto"/>
          <w:u w:val="none"/>
        </w:rPr>
        <w:t>xplanation of the terms</w:t>
      </w:r>
      <w:r>
        <w:rPr>
          <w:rFonts w:hint="eastAsia"/>
        </w:rPr>
        <w:tab/>
      </w:r>
      <w:r>
        <w:rPr>
          <w:rFonts w:hint="eastAsia"/>
        </w:rPr>
        <w:fldChar w:fldCharType="begin"/>
      </w:r>
      <w:r>
        <w:rPr>
          <w:rFonts w:hint="eastAsia"/>
        </w:rPr>
        <w:instrText xml:space="preserve"> </w:instrText>
      </w:r>
      <w:r>
        <w:instrText xml:space="preserve">PAGEREF _Toc213773559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pPr>
        <w:ind w:firstLine="199" w:firstLineChars="83"/>
      </w:pPr>
    </w:p>
    <w:p>
      <w:pPr>
        <w:ind w:firstLine="199" w:firstLineChars="83"/>
        <w:sectPr>
          <w:pgSz w:w="11906" w:h="16838"/>
          <w:pgMar w:top="1440" w:right="1800" w:bottom="1440" w:left="1800" w:header="851" w:footer="992" w:gutter="0"/>
          <w:cols w:space="425" w:num="1"/>
          <w:docGrid w:type="lines" w:linePitch="312" w:charSpace="0"/>
        </w:sectPr>
      </w:pPr>
    </w:p>
    <w:p>
      <w:pPr>
        <w:pStyle w:val="2"/>
      </w:pPr>
      <w:bookmarkStart w:id="5" w:name="_Toc213271625"/>
      <w:bookmarkStart w:id="6" w:name="_Toc212480141"/>
      <w:bookmarkStart w:id="7" w:name="_Toc213773524"/>
      <w:bookmarkStart w:id="8" w:name="_Toc213690054"/>
      <w:bookmarkStart w:id="9" w:name="_Toc213663123"/>
      <w:bookmarkStart w:id="10" w:name="_Toc213257635"/>
      <w:bookmarkStart w:id="11" w:name="_Toc213662929"/>
      <w:r>
        <w:rPr>
          <w:rFonts w:hint="eastAsia"/>
        </w:rPr>
        <w:t>1  总则</w:t>
      </w:r>
      <w:bookmarkEnd w:id="5"/>
      <w:bookmarkEnd w:id="6"/>
      <w:bookmarkEnd w:id="7"/>
      <w:bookmarkEnd w:id="8"/>
      <w:bookmarkEnd w:id="9"/>
      <w:bookmarkEnd w:id="10"/>
      <w:bookmarkEnd w:id="11"/>
    </w:p>
    <w:p>
      <w:pPr>
        <w:ind w:firstLine="0" w:firstLineChars="0"/>
      </w:pPr>
      <w:r>
        <w:rPr>
          <w:rFonts w:hint="eastAsia"/>
        </w:rPr>
        <w:t>1.0.1  为</w:t>
      </w:r>
      <w:r>
        <w:t>使钢渣混凝土桩在工程应用中做到安全</w:t>
      </w:r>
      <w:r>
        <w:rPr>
          <w:rFonts w:hint="eastAsia"/>
        </w:rPr>
        <w:t>适用、技术先进、经济合理</w:t>
      </w:r>
      <w:r>
        <w:t>，</w:t>
      </w:r>
      <w:r>
        <w:rPr>
          <w:rFonts w:hint="eastAsia"/>
        </w:rPr>
        <w:t>保证</w:t>
      </w:r>
      <w:r>
        <w:t>工程质量，推动钢渣资源化利用</w:t>
      </w:r>
      <w:r>
        <w:rPr>
          <w:rFonts w:hint="eastAsia"/>
        </w:rPr>
        <w:t>，</w:t>
      </w:r>
      <w:r>
        <w:t>制定本规程。</w:t>
      </w:r>
    </w:p>
    <w:p>
      <w:pPr>
        <w:ind w:firstLine="0" w:firstLineChars="0"/>
      </w:pPr>
      <w:r>
        <w:rPr>
          <w:rFonts w:hint="eastAsia"/>
        </w:rPr>
        <w:t>1.0.2  本规程适用于</w:t>
      </w:r>
      <w:r>
        <w:t>建设工程</w:t>
      </w:r>
      <w:r>
        <w:rPr>
          <w:rFonts w:hint="eastAsia"/>
        </w:rPr>
        <w:t>中</w:t>
      </w:r>
      <w:r>
        <w:t>钢渣混凝土桩复合地基的设计</w:t>
      </w:r>
      <w:r>
        <w:rPr>
          <w:rFonts w:hint="eastAsia"/>
        </w:rPr>
        <w:t>、</w:t>
      </w:r>
      <w:r>
        <w:t>施工</w:t>
      </w:r>
      <w:r>
        <w:rPr>
          <w:rFonts w:hint="eastAsia"/>
        </w:rPr>
        <w:t>、</w:t>
      </w:r>
      <w:r>
        <w:t>检测与验收。</w:t>
      </w:r>
    </w:p>
    <w:p>
      <w:pPr>
        <w:ind w:firstLine="0" w:firstLineChars="0"/>
      </w:pPr>
      <w:r>
        <w:rPr>
          <w:rFonts w:hint="eastAsia"/>
        </w:rPr>
        <w:t>1</w:t>
      </w:r>
      <w:r>
        <w:t>.</w:t>
      </w:r>
      <w:r>
        <w:rPr>
          <w:rFonts w:hint="eastAsia"/>
        </w:rPr>
        <w:t>0.</w:t>
      </w:r>
      <w:r>
        <w:t>3</w:t>
      </w:r>
      <w:r>
        <w:rPr>
          <w:rFonts w:hint="eastAsia"/>
        </w:rPr>
        <w:t xml:space="preserve">  钢渣</w:t>
      </w:r>
      <w:r>
        <w:t>混凝土桩的材料选用、设计与施工应综合考虑工程地质与水文地质、周边环境条件与要求。</w:t>
      </w:r>
    </w:p>
    <w:p>
      <w:pPr>
        <w:ind w:firstLine="0" w:firstLineChars="0"/>
      </w:pPr>
      <w:r>
        <w:rPr>
          <w:rFonts w:hint="eastAsia"/>
        </w:rPr>
        <w:t>1.0.</w:t>
      </w:r>
      <w:r>
        <w:t>4</w:t>
      </w:r>
      <w:r>
        <w:rPr>
          <w:rFonts w:hint="eastAsia"/>
        </w:rPr>
        <w:t xml:space="preserve">  钢渣混凝土桩应用中除应符合本规程的规定外，尚应符合国家和行业现行有关标准的规定。</w:t>
      </w:r>
    </w:p>
    <w:p>
      <w:pPr>
        <w:ind w:firstLine="480"/>
      </w:pPr>
    </w:p>
    <w:p>
      <w:pPr>
        <w:ind w:firstLine="480"/>
        <w:sectPr>
          <w:footerReference r:id="rId24" w:type="default"/>
          <w:pgSz w:w="11906" w:h="16838"/>
          <w:pgMar w:top="1440" w:right="1800" w:bottom="1440" w:left="1800" w:header="851" w:footer="992" w:gutter="0"/>
          <w:pgNumType w:start="1"/>
          <w:cols w:space="425" w:num="1"/>
          <w:docGrid w:type="lines" w:linePitch="312" w:charSpace="0"/>
        </w:sectPr>
      </w:pPr>
    </w:p>
    <w:p>
      <w:pPr>
        <w:pStyle w:val="2"/>
      </w:pPr>
      <w:bookmarkStart w:id="12" w:name="_Toc213690055"/>
      <w:bookmarkStart w:id="13" w:name="_Toc213773525"/>
      <w:bookmarkStart w:id="14" w:name="_Toc213271629"/>
      <w:bookmarkStart w:id="15" w:name="_Toc213257639"/>
      <w:bookmarkStart w:id="16" w:name="_Toc213662930"/>
      <w:bookmarkStart w:id="17" w:name="_Toc212480145"/>
      <w:bookmarkStart w:id="18" w:name="_Toc213663124"/>
      <w:r>
        <w:rPr>
          <w:rFonts w:hint="eastAsia"/>
        </w:rPr>
        <w:t>2  术语</w:t>
      </w:r>
      <w:r>
        <w:rPr>
          <w:rFonts w:hint="eastAsia"/>
          <w:lang w:eastAsia="zh-CN"/>
        </w:rPr>
        <w:t>和</w:t>
      </w:r>
      <w:r>
        <w:rPr>
          <w:rFonts w:hint="eastAsia"/>
        </w:rPr>
        <w:t>符号</w:t>
      </w:r>
      <w:bookmarkEnd w:id="12"/>
      <w:bookmarkEnd w:id="13"/>
      <w:bookmarkEnd w:id="14"/>
      <w:bookmarkEnd w:id="15"/>
      <w:bookmarkEnd w:id="16"/>
      <w:bookmarkEnd w:id="17"/>
      <w:bookmarkEnd w:id="18"/>
    </w:p>
    <w:p>
      <w:pPr>
        <w:pStyle w:val="3"/>
      </w:pPr>
      <w:r>
        <w:rPr>
          <w:rFonts w:hint="eastAsia"/>
        </w:rPr>
        <w:tab/>
      </w:r>
      <w:bookmarkStart w:id="19" w:name="_Toc213662931"/>
      <w:bookmarkStart w:id="20" w:name="_Toc213690056"/>
      <w:bookmarkStart w:id="21" w:name="_Toc213773526"/>
      <w:bookmarkStart w:id="22" w:name="_Toc213271630"/>
      <w:bookmarkStart w:id="23" w:name="_Toc213663125"/>
      <w:bookmarkStart w:id="24" w:name="_Toc212480146"/>
      <w:bookmarkStart w:id="25" w:name="_Toc213257640"/>
      <w:r>
        <w:rPr>
          <w:rFonts w:hint="eastAsia"/>
        </w:rPr>
        <w:t>2.1  术语</w:t>
      </w:r>
      <w:bookmarkEnd w:id="19"/>
      <w:bookmarkEnd w:id="20"/>
      <w:bookmarkEnd w:id="21"/>
      <w:bookmarkEnd w:id="22"/>
      <w:bookmarkEnd w:id="23"/>
      <w:bookmarkEnd w:id="24"/>
      <w:bookmarkEnd w:id="25"/>
    </w:p>
    <w:p>
      <w:pPr>
        <w:ind w:firstLine="0" w:firstLineChars="0"/>
      </w:pPr>
      <w:r>
        <w:rPr>
          <w:rFonts w:hint="eastAsia"/>
        </w:rPr>
        <w:t>2.1.1  钢渣粉 steel slag</w:t>
      </w:r>
      <w:r>
        <w:t xml:space="preserve"> </w:t>
      </w:r>
      <w:r>
        <w:rPr>
          <w:rFonts w:hint="eastAsia"/>
        </w:rPr>
        <w:t>p</w:t>
      </w:r>
      <w:r>
        <w:t>owder</w:t>
      </w:r>
    </w:p>
    <w:p>
      <w:pPr>
        <w:ind w:firstLine="480"/>
      </w:pPr>
      <w:r>
        <w:rPr>
          <w:rFonts w:hint="eastAsia"/>
        </w:rPr>
        <w:t>以钢渣为主要原料，磨制成一定细度的粉体（比表面积大于350 m</w:t>
      </w:r>
      <w:r>
        <w:rPr>
          <w:rFonts w:hint="eastAsia"/>
          <w:vertAlign w:val="superscript"/>
        </w:rPr>
        <w:t>2</w:t>
      </w:r>
      <w:r>
        <w:rPr>
          <w:rFonts w:hint="eastAsia"/>
        </w:rPr>
        <w:t>/kg）。</w:t>
      </w:r>
    </w:p>
    <w:p>
      <w:pPr>
        <w:ind w:firstLine="0" w:firstLineChars="0"/>
      </w:pPr>
      <w:r>
        <w:rPr>
          <w:rFonts w:hint="eastAsia"/>
        </w:rPr>
        <w:t>2.1.</w:t>
      </w:r>
      <w:r>
        <w:t>2</w:t>
      </w:r>
      <w:r>
        <w:rPr>
          <w:rFonts w:hint="eastAsia"/>
        </w:rPr>
        <w:t xml:space="preserve">  钢渣细骨料 s</w:t>
      </w:r>
      <w:r>
        <w:t>teel slag fine aggregate</w:t>
      </w:r>
    </w:p>
    <w:p>
      <w:pPr>
        <w:ind w:firstLine="480"/>
      </w:pPr>
      <w:r>
        <w:rPr>
          <w:rFonts w:hint="eastAsia"/>
        </w:rPr>
        <w:t>以钢渣为主要原材料，破碎成粒径小于4.75 mm的颗粒。</w:t>
      </w:r>
    </w:p>
    <w:p>
      <w:pPr>
        <w:ind w:firstLine="0" w:firstLineChars="0"/>
      </w:pPr>
      <w:r>
        <w:rPr>
          <w:rFonts w:hint="eastAsia"/>
        </w:rPr>
        <w:t>2.1.</w:t>
      </w:r>
      <w:r>
        <w:t>3</w:t>
      </w:r>
      <w:r>
        <w:rPr>
          <w:rFonts w:hint="eastAsia"/>
        </w:rPr>
        <w:t xml:space="preserve">  钢渣粗骨料 s</w:t>
      </w:r>
      <w:r>
        <w:t>teel slag coarse aggregate</w:t>
      </w:r>
    </w:p>
    <w:p>
      <w:pPr>
        <w:ind w:firstLine="480"/>
      </w:pPr>
      <w:r>
        <w:rPr>
          <w:rFonts w:hint="eastAsia"/>
        </w:rPr>
        <w:t>以钢渣为主要原材料，破碎成粒径大于4.75 mm，小于20 mm的颗粒。</w:t>
      </w:r>
    </w:p>
    <w:p>
      <w:pPr>
        <w:ind w:firstLine="0" w:firstLineChars="0"/>
      </w:pPr>
      <w:r>
        <w:rPr>
          <w:rFonts w:hint="eastAsia"/>
        </w:rPr>
        <w:t xml:space="preserve">2.1.4 钢渣混凝土 steel slag concrete </w:t>
      </w:r>
    </w:p>
    <w:p>
      <w:pPr>
        <w:ind w:firstLine="480"/>
      </w:pPr>
      <w:r>
        <w:rPr>
          <w:rFonts w:hint="eastAsia"/>
        </w:rPr>
        <w:t>以钢渣粉与水泥胶结材、砂、石、水、钢渣骨料为主要原材料制备的混凝土。</w:t>
      </w:r>
    </w:p>
    <w:p>
      <w:pPr>
        <w:ind w:firstLine="0" w:firstLineChars="0"/>
      </w:pPr>
      <w:r>
        <w:rPr>
          <w:rFonts w:hint="eastAsia"/>
        </w:rPr>
        <w:t>2</w:t>
      </w:r>
      <w:r>
        <w:t xml:space="preserve">.1.5 </w:t>
      </w:r>
      <w:r>
        <w:rPr>
          <w:rFonts w:hint="eastAsia"/>
        </w:rPr>
        <w:t xml:space="preserve"> </w:t>
      </w:r>
      <w:r>
        <w:t>钢渣混凝土桩</w:t>
      </w:r>
      <w:r>
        <w:rPr>
          <w:rFonts w:hint="eastAsia"/>
        </w:rPr>
        <w:t xml:space="preserve"> steel slag concrete pile</w:t>
      </w:r>
    </w:p>
    <w:p>
      <w:pPr>
        <w:ind w:firstLine="480"/>
      </w:pPr>
      <w:r>
        <w:t>钢渣混凝土桩是由水泥、</w:t>
      </w:r>
      <w:r>
        <w:rPr>
          <w:rFonts w:hint="eastAsia"/>
        </w:rPr>
        <w:t>钢渣粉、</w:t>
      </w:r>
      <w:r>
        <w:t>钢渣</w:t>
      </w:r>
      <w:r>
        <w:rPr>
          <w:rFonts w:hint="eastAsia"/>
        </w:rPr>
        <w:t>骨料</w:t>
      </w:r>
      <w:r>
        <w:t>、砂</w:t>
      </w:r>
      <w:r>
        <w:rPr>
          <w:rFonts w:hint="eastAsia"/>
        </w:rPr>
        <w:t>（或</w:t>
      </w:r>
      <w:r>
        <w:t>石屑</w:t>
      </w:r>
      <w:r>
        <w:rPr>
          <w:rFonts w:hint="eastAsia"/>
        </w:rPr>
        <w:t>）、碎石</w:t>
      </w:r>
      <w:r>
        <w:t>加水</w:t>
      </w:r>
      <w:r>
        <w:rPr>
          <w:rFonts w:hint="eastAsia"/>
        </w:rPr>
        <w:t>按一定配比</w:t>
      </w:r>
      <w:r>
        <w:t>拌和形成的刚性桩。</w:t>
      </w:r>
    </w:p>
    <w:p>
      <w:pPr>
        <w:ind w:firstLine="0" w:firstLineChars="0"/>
      </w:pPr>
      <w:r>
        <w:rPr>
          <w:rFonts w:hint="eastAsia"/>
        </w:rPr>
        <w:t>2</w:t>
      </w:r>
      <w:r>
        <w:t xml:space="preserve">.1.6 </w:t>
      </w:r>
      <w:r>
        <w:rPr>
          <w:rFonts w:hint="eastAsia"/>
        </w:rPr>
        <w:t xml:space="preserve"> </w:t>
      </w:r>
      <w:r>
        <w:t>钢渣混凝土桩复合地基</w:t>
      </w:r>
      <w:r>
        <w:rPr>
          <w:rFonts w:hint="eastAsia"/>
        </w:rPr>
        <w:t xml:space="preserve"> </w:t>
      </w:r>
      <w:r>
        <w:t>steel slag concrete pile composite foundation</w:t>
      </w:r>
    </w:p>
    <w:p>
      <w:pPr>
        <w:ind w:firstLine="480"/>
      </w:pPr>
      <w:r>
        <w:t>竖向增强体为钢渣</w:t>
      </w:r>
      <w:r>
        <w:rPr>
          <w:rFonts w:hint="eastAsia"/>
        </w:rPr>
        <w:t>混凝土</w:t>
      </w:r>
      <w:r>
        <w:t>，由钢渣混凝土桩和周围地基土体共同承担荷载的的复合地基</w:t>
      </w:r>
      <w:r>
        <w:rPr>
          <w:rFonts w:hint="eastAsia"/>
        </w:rPr>
        <w:t>。</w:t>
      </w:r>
    </w:p>
    <w:p>
      <w:pPr>
        <w:pStyle w:val="3"/>
      </w:pPr>
      <w:r>
        <w:rPr>
          <w:rFonts w:hint="eastAsia"/>
        </w:rPr>
        <w:tab/>
      </w:r>
      <w:bookmarkStart w:id="26" w:name="_Toc213663126"/>
      <w:bookmarkStart w:id="27" w:name="_Toc213257641"/>
      <w:bookmarkStart w:id="28" w:name="_Toc212480147"/>
      <w:bookmarkStart w:id="29" w:name="_Toc213773527"/>
      <w:bookmarkStart w:id="30" w:name="_Toc213271631"/>
      <w:bookmarkStart w:id="31" w:name="_Toc213690057"/>
      <w:bookmarkStart w:id="32" w:name="_Toc213662932"/>
      <w:r>
        <w:rPr>
          <w:rFonts w:hint="eastAsia"/>
        </w:rPr>
        <w:t>2.2  符号</w:t>
      </w:r>
      <w:bookmarkEnd w:id="26"/>
      <w:bookmarkEnd w:id="27"/>
      <w:bookmarkEnd w:id="28"/>
      <w:bookmarkEnd w:id="29"/>
      <w:bookmarkEnd w:id="30"/>
      <w:bookmarkEnd w:id="31"/>
      <w:bookmarkEnd w:id="32"/>
    </w:p>
    <w:p>
      <w:pPr>
        <w:ind w:firstLine="480"/>
      </w:pPr>
      <w:r>
        <w:rPr>
          <w:rFonts w:hint="eastAsia"/>
        </w:rPr>
        <w:t>对规范中涉及到的符号进行汇总说明，方便查阅。</w:t>
      </w:r>
    </w:p>
    <w:p>
      <w:pPr>
        <w:ind w:firstLine="199" w:firstLineChars="83"/>
      </w:pPr>
      <w:r>
        <w:rPr>
          <w:rFonts w:hint="eastAsia"/>
        </w:rPr>
        <w:t xml:space="preserve">2.2.1  </w:t>
      </w:r>
      <w:r>
        <w:t>作用和作用效应</w:t>
      </w:r>
    </w:p>
    <w:p>
      <w:pPr>
        <w:ind w:firstLine="480"/>
      </w:pPr>
      <w:r>
        <w:rPr>
          <w:i/>
        </w:rPr>
        <w:t>p</w:t>
      </w:r>
      <w:r>
        <w:rPr>
          <w:vertAlign w:val="subscript"/>
        </w:rPr>
        <w:t>0</w:t>
      </w:r>
      <w:r>
        <w:t>——复合地基加固区顶部的附加压力（kPa）；</w:t>
      </w:r>
    </w:p>
    <w:p>
      <w:pPr>
        <w:ind w:firstLine="480"/>
      </w:pPr>
      <w:r>
        <w:rPr>
          <w:i/>
          <w:iCs/>
        </w:rPr>
        <w:t>p</w:t>
      </w:r>
      <w:r>
        <w:rPr>
          <w:vertAlign w:val="subscript"/>
        </w:rPr>
        <w:t>z</w:t>
      </w:r>
      <w:r>
        <w:t>——荷载效应标准组合时，软弱下卧层顶面处的附加压力值（kPa）；</w:t>
      </w:r>
    </w:p>
    <w:p>
      <w:pPr>
        <w:tabs>
          <w:tab w:val="left" w:pos="312"/>
        </w:tabs>
        <w:snapToGrid w:val="0"/>
        <w:ind w:firstLine="480"/>
      </w:pPr>
      <w:r>
        <w:rPr>
          <w:i/>
          <w:iCs/>
        </w:rPr>
        <w:t>p</w:t>
      </w:r>
      <w:r>
        <w:rPr>
          <w:vertAlign w:val="subscript"/>
        </w:rPr>
        <w:t>cz</w:t>
      </w:r>
      <w:r>
        <w:t>——软弱下卧层顶面处地基土的自重压力值（kPa）；</w:t>
      </w:r>
    </w:p>
    <w:p>
      <w:pPr>
        <w:ind w:firstLine="480"/>
      </w:pPr>
      <m:oMath>
        <m:r>
          <m:rPr/>
          <w:rPr>
            <w:rFonts w:ascii="Cambria Math"/>
          </w:rPr>
          <m:t>Δ</m:t>
        </m:r>
        <m:sSub>
          <m:sSubPr>
            <m:ctrlPr>
              <w:rPr>
                <w:rFonts w:ascii="Cambria Math" w:hAnsi="Cambria Math"/>
                <w:i/>
              </w:rPr>
            </m:ctrlPr>
          </m:sSubPr>
          <m:e>
            <m:r>
              <m:rPr/>
              <w:rPr>
                <w:rFonts w:ascii="Cambria Math"/>
              </w:rPr>
              <m:t>p</m:t>
            </m:r>
            <m:ctrlPr>
              <w:rPr>
                <w:rFonts w:ascii="Cambria Math" w:hAnsi="Cambria Math"/>
                <w:i/>
              </w:rPr>
            </m:ctrlPr>
          </m:e>
          <m:sub>
            <m:r>
              <m:rPr/>
              <w:rPr>
                <w:rFonts w:ascii="Cambria Math"/>
              </w:rPr>
              <m:t>i</m:t>
            </m:r>
            <m:ctrlPr>
              <w:rPr>
                <w:rFonts w:ascii="Cambria Math" w:hAnsi="Cambria Math"/>
                <w:i/>
              </w:rPr>
            </m:ctrlPr>
          </m:sub>
        </m:sSub>
      </m:oMath>
      <w:r>
        <w:t>——加固区第i层土的平均附加应力增量(kPa)；</w:t>
      </w:r>
    </w:p>
    <w:p>
      <w:pPr>
        <w:ind w:firstLine="480"/>
      </w:pPr>
      <w:r>
        <w:t>Δ</w:t>
      </w:r>
      <w:r>
        <w:rPr>
          <w:i/>
          <w:iCs/>
        </w:rPr>
        <w:t>p</w:t>
      </w:r>
      <w:r>
        <w:rPr>
          <w:vertAlign w:val="subscript"/>
        </w:rPr>
        <w:t>j</w:t>
      </w:r>
      <w:r>
        <w:t>——加固区下第j层土的平均附加应力增量(kPa)</w:t>
      </w:r>
      <w:r>
        <w:rPr>
          <w:rFonts w:hint="eastAsia"/>
        </w:rPr>
        <w:t>。</w:t>
      </w:r>
    </w:p>
    <w:p>
      <w:pPr>
        <w:ind w:firstLine="199" w:firstLineChars="83"/>
      </w:pPr>
      <w:r>
        <w:rPr>
          <w:rFonts w:hint="eastAsia"/>
        </w:rPr>
        <w:t>2.2.2  抗力和材料性能</w:t>
      </w:r>
    </w:p>
    <w:p>
      <w:pPr>
        <w:ind w:firstLine="480"/>
      </w:pPr>
      <w:r>
        <w:rPr>
          <w:i/>
          <w:iCs/>
        </w:rPr>
        <w:t>f</w:t>
      </w:r>
      <w:r>
        <w:rPr>
          <w:vertAlign w:val="subscript"/>
        </w:rPr>
        <w:t>spk</w:t>
      </w:r>
      <w:r>
        <w:t>——钢渣混凝土桩复合地基承载力特征值（kPa）；</w:t>
      </w:r>
    </w:p>
    <w:p>
      <w:pPr>
        <w:ind w:firstLine="480"/>
      </w:pPr>
      <m:oMath>
        <m:sSub>
          <m:sSubPr>
            <m:ctrlPr>
              <w:rPr>
                <w:rFonts w:ascii="Cambria Math" w:hAnsi="Cambria Math"/>
                <w:i/>
              </w:rPr>
            </m:ctrlPr>
          </m:sSubPr>
          <m:e>
            <m:r>
              <m:rPr/>
              <w:rPr>
                <w:rFonts w:ascii="Cambria Math"/>
              </w:rPr>
              <m:t>f</m:t>
            </m:r>
            <m:ctrlPr>
              <w:rPr>
                <w:rFonts w:ascii="Cambria Math" w:hAnsi="Cambria Math"/>
                <w:i/>
              </w:rPr>
            </m:ctrlPr>
          </m:e>
          <m:sub>
            <m:r>
              <m:rPr>
                <m:nor/>
                <m:sty m:val="p"/>
              </m:rPr>
              <w:rPr>
                <w:rFonts w:ascii="Cambria Math"/>
                <w:b w:val="0"/>
                <w:i w:val="0"/>
              </w:rPr>
              <m:t>sk</m:t>
            </m:r>
            <m:ctrlPr>
              <w:rPr>
                <w:rFonts w:ascii="Cambria Math" w:hAnsi="Cambria Math"/>
              </w:rPr>
            </m:ctrlPr>
          </m:sub>
        </m:sSub>
      </m:oMath>
      <w:r>
        <w:t>——加固后桩间土地基承载力特征值(kPa)；</w:t>
      </w:r>
    </w:p>
    <w:p>
      <w:pPr>
        <w:ind w:firstLine="480"/>
      </w:pPr>
      <m:oMath>
        <m:sSub>
          <m:sSubPr>
            <m:ctrlPr>
              <w:rPr>
                <w:rFonts w:ascii="Cambria Math" w:hAnsi="Cambria Math"/>
                <w:i/>
              </w:rPr>
            </m:ctrlPr>
          </m:sSubPr>
          <m:e>
            <m:r>
              <m:rPr>
                <m:nor/>
              </m:rPr>
              <w:rPr>
                <w:i/>
              </w:rPr>
              <m:t>f</m:t>
            </m:r>
            <m:ctrlPr>
              <w:rPr>
                <w:rFonts w:ascii="Cambria Math" w:hAnsi="Cambria Math"/>
                <w:i/>
              </w:rPr>
            </m:ctrlPr>
          </m:e>
          <m:sub>
            <m:r>
              <m:rPr>
                <m:nor/>
              </m:rPr>
              <w:rPr>
                <w:i/>
              </w:rPr>
              <m:t>ak</m:t>
            </m:r>
            <m:ctrlPr>
              <w:rPr>
                <w:rFonts w:ascii="Cambria Math" w:hAnsi="Cambria Math"/>
                <w:i/>
              </w:rPr>
            </m:ctrlPr>
          </m:sub>
        </m:sSub>
      </m:oMath>
      <w:r>
        <w:t>——基础底面下天然地基承载力特征值（kPa）；</w:t>
      </w:r>
    </w:p>
    <w:p>
      <w:pPr>
        <w:tabs>
          <w:tab w:val="left" w:pos="312"/>
        </w:tabs>
        <w:snapToGrid w:val="0"/>
        <w:ind w:firstLine="480"/>
      </w:pPr>
      <w:r>
        <w:rPr>
          <w:i/>
          <w:iCs/>
        </w:rPr>
        <w:t>f</w:t>
      </w:r>
      <w:r>
        <w:rPr>
          <w:vertAlign w:val="subscript"/>
        </w:rPr>
        <w:t>az</w:t>
      </w:r>
      <w:r>
        <w:t>——软弱下卧层顶面处经深度修正后的地基承载力特征值（kPa）；</w:t>
      </w:r>
    </w:p>
    <w:p>
      <w:pPr>
        <w:ind w:firstLine="480"/>
      </w:pPr>
      <m:oMath>
        <m:sSub>
          <m:sSubPr>
            <m:ctrlPr>
              <w:rPr>
                <w:rFonts w:ascii="Cambria Math" w:hAnsi="Cambria Math"/>
                <w:i/>
              </w:rPr>
            </m:ctrlPr>
          </m:sSubPr>
          <m:e>
            <m:r>
              <m:rPr/>
              <w:rPr>
                <w:rFonts w:ascii="Cambria Math"/>
              </w:rPr>
              <m:t>R</m:t>
            </m:r>
            <m:ctrlPr>
              <w:rPr>
                <w:rFonts w:ascii="Cambria Math" w:hAnsi="Cambria Math"/>
                <w:i/>
              </w:rPr>
            </m:ctrlPr>
          </m:e>
          <m:sub>
            <m:r>
              <m:rPr/>
              <w:rPr>
                <w:rFonts w:ascii="Cambria Math"/>
              </w:rPr>
              <m:t>a</m:t>
            </m:r>
            <m:ctrlPr>
              <w:rPr>
                <w:rFonts w:ascii="Cambria Math" w:hAnsi="Cambria Math"/>
                <w:i/>
              </w:rPr>
            </m:ctrlPr>
          </m:sub>
        </m:sSub>
      </m:oMath>
      <w:r>
        <w:t>——单桩竖向抗压承载力特征值(kN)；</w:t>
      </w:r>
    </w:p>
    <w:p>
      <w:pPr>
        <w:tabs>
          <w:tab w:val="left" w:pos="312"/>
        </w:tabs>
        <w:snapToGrid w:val="0"/>
        <w:ind w:firstLine="480"/>
      </w:pPr>
      <m:oMath>
        <m:sSub>
          <m:sSubPr>
            <m:ctrlPr>
              <w:rPr>
                <w:rFonts w:ascii="Cambria Math" w:hAnsi="Cambria Math"/>
                <w:i/>
              </w:rPr>
            </m:ctrlPr>
          </m:sSubPr>
          <m:e>
            <m:r>
              <m:rPr>
                <m:nor/>
              </m:rPr>
              <w:rPr>
                <w:i/>
              </w:rPr>
              <m:t>f</m:t>
            </m:r>
            <m:ctrlPr>
              <w:rPr>
                <w:rFonts w:ascii="Cambria Math" w:hAnsi="Cambria Math"/>
                <w:i/>
              </w:rPr>
            </m:ctrlPr>
          </m:e>
          <m:sub>
            <m:r>
              <m:rPr>
                <m:nor/>
              </m:rPr>
              <w:rPr>
                <w:i/>
              </w:rPr>
              <m:t>cu</m:t>
            </m:r>
            <m:ctrlPr>
              <w:rPr>
                <w:rFonts w:ascii="Cambria Math" w:hAnsi="Cambria Math"/>
                <w:i/>
              </w:rPr>
            </m:ctrlPr>
          </m:sub>
        </m:sSub>
      </m:oMath>
      <w:r>
        <w:t>——桩体混合料试块（边长150mm立方体）标准养护28d立方体抗压强度平均值(kPa)；</w:t>
      </w:r>
    </w:p>
    <w:p>
      <w:pPr>
        <w:ind w:firstLine="480"/>
      </w:pPr>
      <w:r>
        <w:rPr>
          <w:i/>
        </w:rPr>
        <w:t>f</w:t>
      </w:r>
      <w:r>
        <w:t>——复合地基加固区桩侧</w:t>
      </w:r>
      <w:r>
        <w:rPr>
          <w:rFonts w:hint="eastAsia"/>
        </w:rPr>
        <w:t>等效平均侧</w:t>
      </w:r>
      <w:r>
        <w:t>摩阻力（kPa）。</w:t>
      </w:r>
    </w:p>
    <w:p>
      <w:pPr>
        <w:ind w:firstLine="480"/>
      </w:pPr>
      <m:oMath>
        <m:sSub>
          <m:sSubPr>
            <m:ctrlPr>
              <w:rPr>
                <w:rFonts w:ascii="Cambria Math" w:hAnsi="Cambria Math"/>
                <w:i/>
              </w:rPr>
            </m:ctrlPr>
          </m:sSubPr>
          <m:e>
            <m:r>
              <m:rPr/>
              <w:rPr>
                <w:rFonts w:ascii="Cambria Math"/>
              </w:rPr>
              <m:t>q</m:t>
            </m:r>
            <m:ctrlPr>
              <w:rPr>
                <w:rFonts w:ascii="Cambria Math" w:hAnsi="Cambria Math"/>
                <w:i/>
              </w:rPr>
            </m:ctrlPr>
          </m:e>
          <m:sub>
            <m:r>
              <m:rPr/>
              <w:rPr>
                <w:rFonts w:ascii="Cambria Math"/>
              </w:rPr>
              <m:t>si</m:t>
            </m:r>
            <m:ctrlPr>
              <w:rPr>
                <w:rFonts w:ascii="Cambria Math" w:hAnsi="Cambria Math"/>
                <w:i/>
              </w:rPr>
            </m:ctrlPr>
          </m:sub>
        </m:sSub>
      </m:oMath>
      <w:r>
        <w:t>——穿越桩身第i层土的桩侧摩阻力特征值(kPa)；</w:t>
      </w:r>
    </w:p>
    <w:p>
      <w:pPr>
        <w:tabs>
          <w:tab w:val="left" w:pos="312"/>
        </w:tabs>
        <w:snapToGrid w:val="0"/>
        <w:ind w:firstLine="480"/>
      </w:pPr>
      <m:oMath>
        <m:sSub>
          <m:sSubPr>
            <m:ctrlPr>
              <w:rPr>
                <w:rFonts w:ascii="Cambria Math" w:hAnsi="Cambria Math"/>
                <w:i/>
              </w:rPr>
            </m:ctrlPr>
          </m:sSubPr>
          <m:e>
            <m:r>
              <m:rPr/>
              <w:rPr>
                <w:rFonts w:ascii="Cambria Math"/>
              </w:rPr>
              <m:t>q</m:t>
            </m:r>
            <m:ctrlPr>
              <w:rPr>
                <w:rFonts w:ascii="Cambria Math" w:hAnsi="Cambria Math"/>
                <w:i/>
              </w:rPr>
            </m:ctrlPr>
          </m:e>
          <m:sub>
            <m:r>
              <m:rPr/>
              <w:rPr>
                <w:rFonts w:ascii="Cambria Math"/>
              </w:rPr>
              <m:t>p</m:t>
            </m:r>
            <m:ctrlPr>
              <w:rPr>
                <w:rFonts w:ascii="Cambria Math" w:hAnsi="Cambria Math"/>
                <w:i/>
              </w:rPr>
            </m:ctrlPr>
          </m:sub>
        </m:sSub>
      </m:oMath>
      <w:r>
        <w:t>——</w:t>
      </w:r>
      <w:r>
        <w:rPr>
          <w:rFonts w:hint="eastAsia"/>
        </w:rPr>
        <w:t>桩端端</w:t>
      </w:r>
      <w:r>
        <w:t>阻力特征值(kPa)；</w:t>
      </w:r>
    </w:p>
    <w:p>
      <w:pPr>
        <w:ind w:firstLine="480"/>
      </w:pPr>
      <w:r>
        <w:rPr>
          <w:i/>
          <w:iCs/>
        </w:rPr>
        <w:t>E</w:t>
      </w:r>
      <w:r>
        <w:rPr>
          <w:i/>
          <w:iCs/>
          <w:vertAlign w:val="subscript"/>
        </w:rPr>
        <w:t>spi</w:t>
      </w:r>
      <w:r>
        <w:t>——基础底面下加固区第i复合土层的压缩模量(kPa)；</w:t>
      </w:r>
    </w:p>
    <w:p>
      <w:pPr>
        <w:ind w:firstLine="480"/>
      </w:pPr>
      <w:r>
        <w:rPr>
          <w:i/>
          <w:iCs/>
        </w:rPr>
        <w:t>E</w:t>
      </w:r>
      <w:r>
        <w:rPr>
          <w:i/>
          <w:iCs/>
          <w:vertAlign w:val="subscript"/>
        </w:rPr>
        <w:t>si</w:t>
      </w:r>
      <w:r>
        <w:t>——基础底面下加固区第i层土的压缩模量(kPa)；</w:t>
      </w:r>
    </w:p>
    <w:p>
      <w:pPr>
        <w:tabs>
          <w:tab w:val="left" w:pos="312"/>
        </w:tabs>
        <w:snapToGrid w:val="0"/>
        <w:ind w:firstLine="480"/>
      </w:pPr>
      <w:r>
        <w:rPr>
          <w:i/>
          <w:iCs/>
        </w:rPr>
        <w:t>E</w:t>
      </w:r>
      <w:r>
        <w:rPr>
          <w:i/>
          <w:iCs/>
          <w:vertAlign w:val="subscript"/>
        </w:rPr>
        <w:t>sj</w:t>
      </w:r>
      <w:r>
        <w:t>——加固区下第j层土的压缩模量(kPa)；</w:t>
      </w:r>
    </w:p>
    <w:p>
      <w:pPr>
        <w:ind w:firstLine="480"/>
      </w:pPr>
      <m:oMath>
        <m:sSub>
          <m:sSubPr>
            <m:ctrlPr>
              <w:rPr>
                <w:rFonts w:ascii="Cambria Math" w:hAnsi="Cambria Math"/>
                <w:i/>
              </w:rPr>
            </m:ctrlPr>
          </m:sSubPr>
          <m:e>
            <m:bar>
              <m:barPr>
                <m:pos m:val="top"/>
                <m:ctrlPr>
                  <w:rPr>
                    <w:rFonts w:ascii="Cambria Math" w:hAnsi="Cambria Math"/>
                    <w:i/>
                  </w:rPr>
                </m:ctrlPr>
              </m:barPr>
              <m:e>
                <m:r>
                  <m:rPr/>
                  <w:rPr>
                    <w:rFonts w:ascii="Cambria Math"/>
                  </w:rPr>
                  <m:t>E</m:t>
                </m:r>
                <m:ctrlPr>
                  <w:rPr>
                    <w:rFonts w:ascii="Cambria Math" w:hAnsi="Cambria Math"/>
                    <w:i/>
                  </w:rPr>
                </m:ctrlPr>
              </m:e>
            </m:bar>
            <m:ctrlPr>
              <w:rPr>
                <w:rFonts w:ascii="Cambria Math" w:hAnsi="Cambria Math"/>
                <w:i/>
              </w:rPr>
            </m:ctrlPr>
          </m:e>
          <m:sub>
            <m:r>
              <m:rPr/>
              <w:rPr>
                <w:rFonts w:ascii="Cambria Math"/>
              </w:rPr>
              <m:t>s</m:t>
            </m:r>
            <m:ctrlPr>
              <w:rPr>
                <w:rFonts w:ascii="Cambria Math" w:hAnsi="Cambria Math"/>
                <w:i/>
              </w:rPr>
            </m:ctrlPr>
          </m:sub>
        </m:sSub>
      </m:oMath>
      <w:r>
        <w:t>——变形计算深度范围内压缩模量的加权当量值（kPa）；</w:t>
      </w:r>
    </w:p>
    <w:p>
      <w:pPr>
        <w:ind w:firstLine="480"/>
      </w:pPr>
      <w:r>
        <w:t>γ</w:t>
      </w:r>
      <w:r>
        <w:rPr>
          <w:vertAlign w:val="subscript"/>
        </w:rPr>
        <w:t>m</w:t>
      </w:r>
      <w:r>
        <w:t>——基础埋深以上地基土的加权平均重度（kN/m</w:t>
      </w:r>
      <w:r>
        <w:rPr>
          <w:vertAlign w:val="superscript"/>
        </w:rPr>
        <w:t>3</w:t>
      </w:r>
      <w:r>
        <w:t>）</w:t>
      </w:r>
      <w:r>
        <w:rPr>
          <w:rFonts w:hint="eastAsia"/>
        </w:rPr>
        <w:t>。</w:t>
      </w:r>
    </w:p>
    <w:p>
      <w:pPr>
        <w:ind w:firstLine="199" w:firstLineChars="83"/>
      </w:pPr>
      <w:r>
        <w:rPr>
          <w:rFonts w:hint="eastAsia"/>
        </w:rPr>
        <w:t>2.2.3  几何参数</w:t>
      </w:r>
    </w:p>
    <w:p>
      <w:pPr>
        <w:tabs>
          <w:tab w:val="left" w:pos="312"/>
        </w:tabs>
        <w:snapToGrid w:val="0"/>
        <w:ind w:firstLine="480"/>
      </w:pPr>
      <m:oMath>
        <m:sSub>
          <m:sSubPr>
            <m:ctrlPr>
              <w:rPr>
                <w:rFonts w:ascii="Cambria Math" w:hAnsi="Cambria Math"/>
                <w:i/>
              </w:rPr>
            </m:ctrlPr>
          </m:sSubPr>
          <m:e>
            <m:r>
              <m:rPr/>
              <w:rPr>
                <w:rFonts w:ascii="Cambria Math"/>
              </w:rPr>
              <m:t>A</m:t>
            </m:r>
            <m:ctrlPr>
              <w:rPr>
                <w:rFonts w:ascii="Cambria Math" w:hAnsi="Cambria Math"/>
                <w:i/>
              </w:rPr>
            </m:ctrlPr>
          </m:e>
          <m:sub>
            <m:r>
              <m:rPr/>
              <w:rPr>
                <w:rFonts w:ascii="Cambria Math"/>
              </w:rPr>
              <m:t>p</m:t>
            </m:r>
            <m:ctrlPr>
              <w:rPr>
                <w:rFonts w:ascii="Cambria Math" w:hAnsi="Cambria Math"/>
                <w:i/>
              </w:rPr>
            </m:ctrlPr>
          </m:sub>
        </m:sSub>
      </m:oMath>
      <w:r>
        <w:t>——单桩截面积(m</w:t>
      </w:r>
      <w:r>
        <w:rPr>
          <w:vertAlign w:val="superscript"/>
        </w:rPr>
        <w:t>2</w:t>
      </w:r>
      <w:r>
        <w:t>)；</w:t>
      </w:r>
    </w:p>
    <w:p>
      <w:pPr>
        <w:ind w:firstLine="480"/>
      </w:pPr>
      <w:r>
        <w:rPr>
          <w:i/>
          <w:iCs/>
        </w:rPr>
        <w:t>d</w:t>
      </w:r>
      <w:r>
        <w:t>——桩径，钢渣混凝土桩的桩体直径（m）；</w:t>
      </w:r>
    </w:p>
    <w:p>
      <w:pPr>
        <w:ind w:firstLine="480"/>
      </w:pPr>
      <m:oMath>
        <m:sSub>
          <m:sSubPr>
            <m:ctrlPr>
              <w:rPr>
                <w:rFonts w:ascii="Cambria Math" w:hAnsi="Cambria Math"/>
                <w:i/>
              </w:rPr>
            </m:ctrlPr>
          </m:sSubPr>
          <m:e>
            <m:r>
              <m:rPr/>
              <w:rPr>
                <w:rFonts w:ascii="Cambria Math"/>
              </w:rPr>
              <m:t>d</m:t>
            </m:r>
            <m:ctrlPr>
              <w:rPr>
                <w:rFonts w:ascii="Cambria Math" w:hAnsi="Cambria Math"/>
                <w:i/>
              </w:rPr>
            </m:ctrlPr>
          </m:e>
          <m:sub>
            <m:r>
              <m:rPr/>
              <w:rPr>
                <w:rFonts w:ascii="Cambria Math"/>
              </w:rPr>
              <m:t>e</m:t>
            </m:r>
            <m:ctrlPr>
              <w:rPr>
                <w:rFonts w:ascii="Cambria Math" w:hAnsi="Cambria Math"/>
                <w:i/>
              </w:rPr>
            </m:ctrlPr>
          </m:sub>
        </m:sSub>
      </m:oMath>
      <w:r>
        <w:t>——单根桩分担的地基处理面积的等效圆直径(m)；</w:t>
      </w:r>
    </w:p>
    <w:p>
      <w:pPr>
        <w:ind w:firstLine="480"/>
      </w:pPr>
      <w:r>
        <w:t>s——桩间距，相邻钢渣混凝土桩桩中心之间的距离（m）；</w:t>
      </w:r>
    </w:p>
    <w:p>
      <w:pPr>
        <w:ind w:firstLine="480"/>
      </w:pPr>
      <m:oMath>
        <m:sSub>
          <m:sSubPr>
            <m:ctrlPr>
              <w:rPr>
                <w:rFonts w:ascii="Cambria Math" w:hAnsi="Cambria Math"/>
                <w:i/>
              </w:rPr>
            </m:ctrlPr>
          </m:sSubPr>
          <m:e>
            <m:r>
              <m:rPr/>
              <w:rPr>
                <w:rFonts w:ascii="Cambria Math"/>
              </w:rPr>
              <m:t>u</m:t>
            </m:r>
            <m:ctrlPr>
              <w:rPr>
                <w:rFonts w:ascii="Cambria Math" w:hAnsi="Cambria Math"/>
                <w:i/>
              </w:rPr>
            </m:ctrlPr>
          </m:e>
          <m:sub>
            <m:r>
              <m:rPr/>
              <w:rPr>
                <w:rFonts w:ascii="Cambria Math"/>
              </w:rPr>
              <m:t>p</m:t>
            </m:r>
            <m:ctrlPr>
              <w:rPr>
                <w:rFonts w:ascii="Cambria Math" w:hAnsi="Cambria Math"/>
                <w:i/>
              </w:rPr>
            </m:ctrlPr>
          </m:sub>
        </m:sSub>
      </m:oMath>
      <w:r>
        <w:t>——桩的截面周长(m)；</w:t>
      </w:r>
    </w:p>
    <w:p>
      <w:pPr>
        <w:ind w:firstLine="480"/>
      </w:pPr>
      <w:r>
        <w:rPr>
          <w:i/>
          <w:iCs/>
        </w:rPr>
        <w:t>D</w:t>
      </w:r>
      <w:r>
        <w:t>——基础埋置深度（m）</w:t>
      </w:r>
      <w:r>
        <w:rPr>
          <w:rFonts w:hint="eastAsia"/>
        </w:rPr>
        <w:t>；</w:t>
      </w:r>
    </w:p>
    <w:p>
      <w:pPr>
        <w:ind w:firstLine="480"/>
      </w:pPr>
      <w:r>
        <w:rPr>
          <w:i/>
        </w:rPr>
        <w:t>h</w:t>
      </w:r>
      <w:r>
        <w:t>——复合地基加固区的深度（m）</w:t>
      </w:r>
      <w:r>
        <w:rPr>
          <w:rFonts w:hint="eastAsia"/>
        </w:rPr>
        <w:t>，即</w:t>
      </w:r>
      <w:r>
        <w:t>钢渣混凝土桩的桩体</w:t>
      </w:r>
      <w:r>
        <w:rPr>
          <w:rFonts w:hint="eastAsia"/>
        </w:rPr>
        <w:t>长度</w:t>
      </w:r>
      <w:r>
        <w:t>；</w:t>
      </w:r>
    </w:p>
    <w:p>
      <w:pPr>
        <w:ind w:firstLine="480"/>
      </w:pPr>
      <m:oMath>
        <m:sSub>
          <m:sSubPr>
            <m:ctrlPr>
              <w:rPr>
                <w:rFonts w:ascii="Cambria Math" w:hAnsi="Cambria Math"/>
                <w:i/>
              </w:rPr>
            </m:ctrlPr>
          </m:sSubPr>
          <m:e>
            <m:r>
              <m:rPr/>
              <w:rPr>
                <w:rFonts w:ascii="Cambria Math"/>
              </w:rPr>
              <m:t>l</m:t>
            </m:r>
            <m:ctrlPr>
              <w:rPr>
                <w:rFonts w:ascii="Cambria Math" w:hAnsi="Cambria Math"/>
                <w:i/>
              </w:rPr>
            </m:ctrlPr>
          </m:e>
          <m:sub>
            <m:r>
              <m:rPr/>
              <w:rPr>
                <w:rFonts w:ascii="Cambria Math"/>
              </w:rPr>
              <m:t>i</m:t>
            </m:r>
            <m:ctrlPr>
              <w:rPr>
                <w:rFonts w:ascii="Cambria Math" w:hAnsi="Cambria Math"/>
                <w:i/>
              </w:rPr>
            </m:ctrlPr>
          </m:sub>
        </m:sSub>
      </m:oMath>
      <w:r>
        <w:t>——桩长范围内第i层土的厚度(m)；</w:t>
      </w:r>
    </w:p>
    <w:p>
      <w:pPr>
        <w:ind w:firstLine="480"/>
      </w:pPr>
      <w:r>
        <w:rPr>
          <w:i/>
          <w:iCs/>
        </w:rPr>
        <w:t>l</w:t>
      </w:r>
      <w:r>
        <w:rPr>
          <w:i/>
          <w:iCs/>
          <w:vertAlign w:val="subscript"/>
        </w:rPr>
        <w:t>j</w:t>
      </w:r>
      <w:r>
        <w:t>——加固区下第j层土的厚度(mm)；</w:t>
      </w:r>
    </w:p>
    <w:p>
      <w:pPr>
        <w:ind w:firstLine="480"/>
      </w:pPr>
      <w:r>
        <w:rPr>
          <w:i/>
          <w:iCs/>
        </w:rPr>
        <w:t>s</w:t>
      </w:r>
      <w:r>
        <w:t>——复合地基总变形量(mm)；</w:t>
      </w:r>
    </w:p>
    <w:p>
      <w:pPr>
        <w:ind w:firstLine="480"/>
      </w:pPr>
      <w:r>
        <w:rPr>
          <w:i/>
          <w:iCs/>
        </w:rPr>
        <w:t>s</w:t>
      </w:r>
      <w:r>
        <w:rPr>
          <w:vertAlign w:val="subscript"/>
        </w:rPr>
        <w:t>1</w:t>
      </w:r>
      <w:r>
        <w:t>——复合地基加固区压缩变形量(mm)；</w:t>
      </w:r>
    </w:p>
    <w:p>
      <w:pPr>
        <w:ind w:firstLine="480"/>
      </w:pPr>
      <w:r>
        <w:rPr>
          <w:i/>
          <w:iCs/>
        </w:rPr>
        <w:t>s</w:t>
      </w:r>
      <w:r>
        <w:rPr>
          <w:vertAlign w:val="subscript"/>
        </w:rPr>
        <w:t>1</w:t>
      </w:r>
      <w:r>
        <w:t>——复合地基加固区下卧土层压缩变形量(mm)；</w:t>
      </w:r>
    </w:p>
    <w:p>
      <w:pPr>
        <w:ind w:firstLine="480"/>
      </w:pPr>
      <w:r>
        <w:rPr>
          <w:i/>
        </w:rPr>
        <w:t>L</w:t>
      </w:r>
      <w:r>
        <w:t>——矩形基础底边的长度（m）；</w:t>
      </w:r>
    </w:p>
    <w:p>
      <w:pPr>
        <w:ind w:firstLine="480"/>
      </w:pPr>
      <w:r>
        <w:rPr>
          <w:i/>
        </w:rPr>
        <w:t>B</w:t>
      </w:r>
      <w:r>
        <w:t>——矩形基础或条形基础底边的宽度（m）；</w:t>
      </w:r>
    </w:p>
    <w:p>
      <w:pPr>
        <w:ind w:firstLine="480"/>
      </w:pPr>
      <w:r>
        <w:rPr>
          <w:i/>
        </w:rPr>
        <w:t>a</w:t>
      </w:r>
      <w:r>
        <w:rPr>
          <w:vertAlign w:val="subscript"/>
        </w:rPr>
        <w:t>0</w:t>
      </w:r>
      <w:r>
        <w:t>——基础长度方向桩的外包尺寸（m）；</w:t>
      </w:r>
    </w:p>
    <w:p>
      <w:pPr>
        <w:ind w:firstLine="480"/>
      </w:pPr>
      <w:r>
        <w:rPr>
          <w:i/>
        </w:rPr>
        <w:t>b</w:t>
      </w:r>
      <w:r>
        <w:rPr>
          <w:vertAlign w:val="subscript"/>
        </w:rPr>
        <w:t>0</w:t>
      </w:r>
      <w:r>
        <w:t>——基础宽度方向桩的外包尺寸（m）</w:t>
      </w:r>
      <w:r>
        <w:rPr>
          <w:rFonts w:hint="eastAsia"/>
        </w:rPr>
        <w:t>。</w:t>
      </w:r>
    </w:p>
    <w:p>
      <w:pPr>
        <w:ind w:firstLine="199" w:firstLineChars="83"/>
      </w:pPr>
      <w:r>
        <w:rPr>
          <w:rFonts w:hint="eastAsia"/>
        </w:rPr>
        <w:t>2.2.4  计算参数和系数</w:t>
      </w:r>
    </w:p>
    <w:p>
      <w:pPr>
        <w:ind w:firstLine="480"/>
      </w:pPr>
      <m:oMath>
        <m:r>
          <m:rPr/>
          <w:rPr>
            <w:rFonts w:ascii="Cambria Math"/>
          </w:rPr>
          <m:t>m</m:t>
        </m:r>
      </m:oMath>
      <w:r>
        <w:t>——复合地基面积置换率</w:t>
      </w:r>
      <w:r>
        <w:rPr>
          <w:rFonts w:hint="eastAsia"/>
        </w:rPr>
        <w:t>、</w:t>
      </w:r>
      <w:r>
        <w:t>加固区下土层的沉降计算分层数；</w:t>
      </w:r>
    </w:p>
    <w:p>
      <w:pPr>
        <w:ind w:firstLine="480"/>
      </w:pPr>
      <m:oMath>
        <m:r>
          <m:rPr/>
          <w:rPr>
            <w:rFonts w:ascii="Cambria Math"/>
          </w:rPr>
          <m:t>n</m:t>
        </m:r>
      </m:oMath>
      <w:r>
        <w:t>——桩长范围内所划分的土层数；</w:t>
      </w:r>
    </w:p>
    <w:p>
      <w:pPr>
        <w:ind w:firstLine="480"/>
      </w:pPr>
      <m:oMath>
        <m:sSub>
          <m:sSubPr>
            <m:ctrlPr>
              <w:rPr>
                <w:rFonts w:ascii="Cambria Math" w:hAnsi="Cambria Math"/>
                <w:i/>
              </w:rPr>
            </m:ctrlPr>
          </m:sSubPr>
          <m:e>
            <m:r>
              <m:rPr/>
              <w:rPr>
                <w:rFonts w:ascii="Cambria Math"/>
              </w:rPr>
              <m:t>β</m:t>
            </m:r>
            <m:ctrlPr>
              <w:rPr>
                <w:rFonts w:ascii="Cambria Math" w:hAnsi="Cambria Math"/>
                <w:i/>
              </w:rPr>
            </m:ctrlPr>
          </m:e>
          <m:sub>
            <m:r>
              <m:rPr/>
              <w:rPr>
                <w:rFonts w:ascii="Cambria Math"/>
              </w:rPr>
              <m:t>p</m:t>
            </m:r>
            <m:ctrlPr>
              <w:rPr>
                <w:rFonts w:ascii="Cambria Math" w:hAnsi="Cambria Math"/>
                <w:i/>
              </w:rPr>
            </m:ctrlPr>
          </m:sub>
        </m:sSub>
      </m:oMath>
      <w:r>
        <w:t>——桩体竖向抗压承载力修正系数；</w:t>
      </w:r>
    </w:p>
    <w:p>
      <w:pPr>
        <w:ind w:firstLine="480"/>
      </w:pPr>
      <m:oMath>
        <m:sSub>
          <m:sSubPr>
            <m:ctrlPr>
              <w:rPr>
                <w:rFonts w:ascii="Cambria Math" w:hAnsi="Cambria Math"/>
                <w:i/>
              </w:rPr>
            </m:ctrlPr>
          </m:sSubPr>
          <m:e>
            <m:r>
              <m:rPr/>
              <w:rPr>
                <w:rFonts w:ascii="Cambria Math"/>
              </w:rPr>
              <m:t>β</m:t>
            </m:r>
            <m:ctrlPr>
              <w:rPr>
                <w:rFonts w:ascii="Cambria Math" w:hAnsi="Cambria Math"/>
                <w:i/>
              </w:rPr>
            </m:ctrlPr>
          </m:e>
          <m:sub>
            <m:r>
              <m:rPr/>
              <w:rPr>
                <w:rFonts w:ascii="Cambria Math"/>
              </w:rPr>
              <m:t>s</m:t>
            </m:r>
            <m:ctrlPr>
              <w:rPr>
                <w:rFonts w:ascii="Cambria Math" w:hAnsi="Cambria Math"/>
                <w:i/>
              </w:rPr>
            </m:ctrlPr>
          </m:sub>
        </m:sSub>
      </m:oMath>
      <w:r>
        <w:t>——桩间土地基承载力修正系数；</w:t>
      </w:r>
    </w:p>
    <w:p>
      <w:pPr>
        <w:ind w:firstLine="480"/>
      </w:pPr>
      <m:oMath>
        <m:r>
          <m:rPr/>
          <w:rPr>
            <w:rFonts w:ascii="Cambria Math"/>
          </w:rPr>
          <m:t>α</m:t>
        </m:r>
      </m:oMath>
      <w:r>
        <w:t>——桩端土地基承载力折减系数；</w:t>
      </w:r>
    </w:p>
    <w:p>
      <w:pPr>
        <w:ind w:firstLine="480"/>
      </w:pPr>
      <m:oMath>
        <m:sSub>
          <m:sSubPr>
            <m:ctrlPr>
              <w:rPr>
                <w:rFonts w:ascii="Cambria Math" w:hAnsi="Cambria Math"/>
                <w:i/>
              </w:rPr>
            </m:ctrlPr>
          </m:sSubPr>
          <m:e>
            <m:r>
              <m:rPr/>
              <w:rPr>
                <w:rFonts w:ascii="Cambria Math"/>
              </w:rPr>
              <m:t>α</m:t>
            </m:r>
            <m:ctrlPr>
              <w:rPr>
                <w:rFonts w:ascii="Cambria Math" w:hAnsi="Cambria Math"/>
                <w:i/>
              </w:rPr>
            </m:ctrlPr>
          </m:e>
          <m:sub>
            <m:r>
              <m:rPr/>
              <w:rPr>
                <w:rFonts w:ascii="Cambria Math"/>
              </w:rPr>
              <m:t>t</m:t>
            </m:r>
            <m:ctrlPr>
              <w:rPr>
                <w:rFonts w:ascii="Cambria Math" w:hAnsi="Cambria Math"/>
                <w:i/>
              </w:rPr>
            </m:ctrlPr>
          </m:sub>
        </m:sSub>
      </m:oMath>
      <w:r>
        <w:t>——软土地基触变性修正系数；</w:t>
      </w:r>
    </w:p>
    <w:p>
      <w:pPr>
        <w:ind w:firstLine="480"/>
      </w:pPr>
      <m:oMath>
        <m:sSub>
          <m:sSubPr>
            <m:ctrlPr>
              <w:rPr>
                <w:rFonts w:ascii="Cambria Math" w:hAnsi="Cambria Math"/>
                <w:i/>
              </w:rPr>
            </m:ctrlPr>
          </m:sSubPr>
          <m:e>
            <m:r>
              <m:rPr/>
              <w:rPr>
                <w:rFonts w:ascii="Cambria Math"/>
              </w:rPr>
              <m:t>α</m:t>
            </m:r>
            <m:ctrlPr>
              <w:rPr>
                <w:rFonts w:ascii="Cambria Math" w:hAnsi="Cambria Math"/>
                <w:i/>
              </w:rPr>
            </m:ctrlPr>
          </m:e>
          <m:sub>
            <m:r>
              <m:rPr/>
              <w:rPr>
                <w:rFonts w:ascii="Cambria Math"/>
              </w:rPr>
              <m:t>s</m:t>
            </m:r>
            <m:ctrlPr>
              <w:rPr>
                <w:rFonts w:ascii="Cambria Math" w:hAnsi="Cambria Math"/>
                <w:i/>
              </w:rPr>
            </m:ctrlPr>
          </m:sub>
        </m:sSub>
      </m:oMath>
      <w:r>
        <w:t>——固结效应修正系数；</w:t>
      </w:r>
    </w:p>
    <w:p>
      <w:pPr>
        <w:ind w:firstLine="480"/>
      </w:pPr>
      <w:r>
        <w:rPr>
          <w:i/>
          <w:iCs/>
        </w:rPr>
        <w:t>ζ</w:t>
      </w:r>
      <w:r>
        <w:t>——加固区内复合地基压缩模量提高系数；</w:t>
      </w:r>
    </w:p>
    <w:p>
      <w:pPr>
        <w:ind w:firstLine="480"/>
      </w:pPr>
      <m:oMath>
        <m:sSub>
          <m:sSubPr>
            <m:ctrlPr>
              <w:rPr>
                <w:rFonts w:ascii="Cambria Math" w:hAnsi="Cambria Math"/>
                <w:i/>
              </w:rPr>
            </m:ctrlPr>
          </m:sSubPr>
          <m:e>
            <m:r>
              <m:rPr>
                <m:nor/>
              </m:rPr>
              <w:rPr>
                <w:i/>
              </w:rPr>
              <m:t>ψ</m:t>
            </m:r>
            <m:ctrlPr>
              <w:rPr>
                <w:rFonts w:ascii="Cambria Math" w:hAnsi="Cambria Math"/>
                <w:i/>
              </w:rPr>
            </m:ctrlPr>
          </m:e>
          <m:sub>
            <m:r>
              <m:rPr>
                <m:nor/>
              </m:rPr>
              <w:rPr>
                <w:i/>
              </w:rPr>
              <m:t>s</m:t>
            </m:r>
            <m:ctrlPr>
              <w:rPr>
                <w:rFonts w:ascii="Cambria Math" w:hAnsi="Cambria Math"/>
                <w:i/>
              </w:rPr>
            </m:ctrlPr>
          </m:sub>
        </m:sSub>
      </m:oMath>
      <w:r>
        <w:t>——复合地基沉降计算经验系数；</w:t>
      </w:r>
    </w:p>
    <w:p>
      <w:pPr>
        <w:ind w:firstLine="480"/>
      </w:pPr>
      <w:r>
        <w:rPr>
          <w:i/>
          <w:iCs/>
        </w:rPr>
        <w:t>A</w:t>
      </w:r>
      <w:r>
        <w:rPr>
          <w:i/>
          <w:iCs/>
          <w:vertAlign w:val="subscript"/>
        </w:rPr>
        <w:t>i</w:t>
      </w:r>
      <w:r>
        <w:t>——加固土层第i层土的附加应力系数沿土层厚度的积分值；</w:t>
      </w:r>
    </w:p>
    <w:p>
      <w:pPr>
        <w:ind w:firstLine="480"/>
      </w:pPr>
      <w:r>
        <w:rPr>
          <w:i/>
          <w:iCs/>
        </w:rPr>
        <w:t>A</w:t>
      </w:r>
      <w:r>
        <w:rPr>
          <w:vertAlign w:val="subscript"/>
        </w:rPr>
        <w:t>j</w:t>
      </w:r>
      <w:r>
        <w:t>——加固土层下第j层土附加应力系数沿土层厚度的积分值</w:t>
      </w:r>
      <w:r>
        <w:rPr>
          <w:rFonts w:hint="eastAsia"/>
        </w:rPr>
        <w:t>。</w:t>
      </w:r>
    </w:p>
    <w:p>
      <w:pPr>
        <w:ind w:firstLine="480"/>
      </w:pPr>
    </w:p>
    <w:p>
      <w:pPr>
        <w:ind w:firstLine="480"/>
        <w:sectPr>
          <w:pgSz w:w="11906" w:h="16838"/>
          <w:pgMar w:top="1440" w:right="1800" w:bottom="1440" w:left="1800" w:header="851" w:footer="992" w:gutter="0"/>
          <w:cols w:space="425" w:num="1"/>
          <w:docGrid w:type="lines" w:linePitch="312" w:charSpace="0"/>
        </w:sectPr>
      </w:pPr>
    </w:p>
    <w:p>
      <w:pPr>
        <w:pStyle w:val="2"/>
        <w:rPr>
          <w:sz w:val="24"/>
        </w:rPr>
      </w:pPr>
      <w:bookmarkStart w:id="33" w:name="_Toc213271632"/>
      <w:bookmarkStart w:id="34" w:name="_Toc212480148"/>
      <w:bookmarkStart w:id="35" w:name="_Toc213257642"/>
      <w:bookmarkStart w:id="36" w:name="_Toc213773528"/>
      <w:bookmarkStart w:id="37" w:name="_Toc213663127"/>
      <w:bookmarkStart w:id="38" w:name="_Toc213662933"/>
      <w:bookmarkStart w:id="39" w:name="_Toc213690058"/>
      <w:r>
        <w:rPr>
          <w:rFonts w:hint="eastAsia"/>
        </w:rPr>
        <w:t>3  基本规定</w:t>
      </w:r>
      <w:bookmarkEnd w:id="33"/>
      <w:bookmarkEnd w:id="34"/>
      <w:bookmarkEnd w:id="35"/>
      <w:bookmarkEnd w:id="36"/>
      <w:bookmarkEnd w:id="37"/>
      <w:bookmarkEnd w:id="38"/>
      <w:bookmarkEnd w:id="39"/>
    </w:p>
    <w:p>
      <w:pPr>
        <w:ind w:firstLine="0" w:firstLineChars="0"/>
      </w:pPr>
      <w:r>
        <w:rPr>
          <w:rFonts w:hint="eastAsia"/>
        </w:rPr>
        <w:t>3.0.1  钢渣混凝土桩复合地基可适用于处理一般黏性土、粉土、砂性土等软弱他地基。设计采用的复合地基承载力特征值不宜大于300kpa，桩身强度不宜超过C20。</w:t>
      </w:r>
    </w:p>
    <w:p>
      <w:pPr>
        <w:ind w:firstLine="0" w:firstLineChars="0"/>
      </w:pPr>
      <w:r>
        <w:rPr>
          <w:rFonts w:hint="eastAsia"/>
        </w:rPr>
        <w:t>3.0.2  钢渣混凝土桩复合地基工程应综合考虑工程地质与水文地质条件、上部结构特点、荷载特征、施工环境等因素，实行全过程质量控制。</w:t>
      </w:r>
    </w:p>
    <w:p>
      <w:pPr>
        <w:ind w:firstLine="0" w:firstLineChars="0"/>
      </w:pPr>
      <w:r>
        <w:rPr>
          <w:rFonts w:hint="eastAsia"/>
        </w:rPr>
        <w:t>3.0.3  钢渣混凝土的配合比设计应满足工作性、强度、耐久性和体积稳定性的要求。施工前应进行配合比试配，并经相关方同意后使用。</w:t>
      </w:r>
    </w:p>
    <w:p>
      <w:pPr>
        <w:ind w:firstLine="0" w:firstLineChars="0"/>
      </w:pPr>
      <w:r>
        <w:rPr>
          <w:rFonts w:hint="eastAsia"/>
        </w:rPr>
        <w:t>3.0.4  钢渣混凝土的力学性能和长期耐久性能应满足桩身设计和工程所处环境类别的耐久性要求。其性能试验方法应符合现行国家标准《普通混凝土力学性能试验方法标准》GB/T 50081和《普通混凝土长期性能和耐久性能试验方法标准》GB/T 50082的规定。</w:t>
      </w:r>
    </w:p>
    <w:p>
      <w:pPr>
        <w:ind w:firstLine="0" w:firstLineChars="0"/>
      </w:pPr>
      <w:r>
        <w:rPr>
          <w:rFonts w:hint="eastAsia"/>
        </w:rPr>
        <w:t>3.0.5  复合地基检测应对单桩和复合地基分别进行检测，质量验收应符合现行国家标准《建筑工程施工质量验收统一标准》</w:t>
      </w:r>
      <w:r>
        <w:t>GB50300</w:t>
      </w:r>
      <w:r>
        <w:rPr>
          <w:rFonts w:hint="eastAsia"/>
        </w:rPr>
        <w:t>的有关规定；质量检验标准应符合《建筑地基基础工程施工质量验收标准》</w:t>
      </w:r>
      <w:r>
        <w:t>GB50202</w:t>
      </w:r>
      <w:r>
        <w:rPr>
          <w:rFonts w:hint="eastAsia"/>
        </w:rPr>
        <w:t>的有关规定。</w:t>
      </w:r>
    </w:p>
    <w:p>
      <w:pPr>
        <w:ind w:firstLine="0" w:firstLineChars="0"/>
      </w:pPr>
      <w:r>
        <w:rPr>
          <w:rFonts w:hint="eastAsia"/>
        </w:rPr>
        <w:t>3.0.6  钢渣原料及钢渣混凝土材料所含重金属种类、浸出浓度等指标应符合《危险废物鉴别标准》GB 5085.3和《污水综合排放标准》GB 8978标准的限值要求。</w:t>
      </w:r>
    </w:p>
    <w:p>
      <w:pPr>
        <w:ind w:firstLine="0" w:firstLineChars="0"/>
      </w:pPr>
      <w:r>
        <w:rPr>
          <w:rFonts w:hint="eastAsia"/>
        </w:rPr>
        <w:t>3.0</w:t>
      </w:r>
      <w:r>
        <w:t>.</w:t>
      </w:r>
      <w:r>
        <w:rPr>
          <w:rFonts w:hint="eastAsia"/>
        </w:rPr>
        <w:t>7  钢渣混凝土所用钢渣骨料应进行陈化、稳定化处理，其稳定性指标应符合现行国家标准《钢铁渣复合料》GB/T 28294等的相关规定，严禁使用不合格或稳定性未经检验的钢渣。</w:t>
      </w:r>
    </w:p>
    <w:p>
      <w:pPr>
        <w:ind w:firstLine="0" w:firstLineChars="0"/>
      </w:pPr>
      <w:r>
        <w:rPr>
          <w:rFonts w:hint="eastAsia"/>
        </w:rPr>
        <w:t>3.0</w:t>
      </w:r>
      <w:r>
        <w:t>.</w:t>
      </w:r>
      <w:r>
        <w:rPr>
          <w:rFonts w:hint="eastAsia"/>
        </w:rPr>
        <w:t>8  在钢渣骨料的运输、储存、搅拌及施工过程中，应采取有效措施防止扬尘污染，并对废水、废料进行妥善处理。</w:t>
      </w:r>
    </w:p>
    <w:p>
      <w:pPr>
        <w:ind w:firstLine="480"/>
      </w:pPr>
    </w:p>
    <w:p>
      <w:pPr>
        <w:ind w:firstLine="480"/>
        <w:sectPr>
          <w:pgSz w:w="11906" w:h="16838"/>
          <w:pgMar w:top="1440" w:right="1800" w:bottom="1440" w:left="1800" w:header="851" w:footer="992" w:gutter="0"/>
          <w:cols w:space="425" w:num="1"/>
          <w:docGrid w:type="lines" w:linePitch="312" w:charSpace="0"/>
        </w:sectPr>
      </w:pPr>
    </w:p>
    <w:p>
      <w:pPr>
        <w:pStyle w:val="2"/>
      </w:pPr>
      <w:bookmarkStart w:id="40" w:name="_Toc213690059"/>
      <w:bookmarkStart w:id="41" w:name="_Toc213662934"/>
      <w:bookmarkStart w:id="42" w:name="_Toc213773529"/>
      <w:bookmarkStart w:id="43" w:name="_Toc212480151"/>
      <w:bookmarkStart w:id="44" w:name="_Toc213271635"/>
      <w:bookmarkStart w:id="45" w:name="_Toc213257645"/>
      <w:bookmarkStart w:id="46" w:name="_Toc213663128"/>
      <w:r>
        <w:rPr>
          <w:rFonts w:hint="eastAsia"/>
        </w:rPr>
        <w:t>4  材料</w:t>
      </w:r>
      <w:bookmarkEnd w:id="40"/>
      <w:bookmarkEnd w:id="41"/>
      <w:bookmarkEnd w:id="42"/>
      <w:bookmarkEnd w:id="43"/>
      <w:bookmarkEnd w:id="44"/>
      <w:bookmarkEnd w:id="45"/>
      <w:bookmarkEnd w:id="46"/>
    </w:p>
    <w:p>
      <w:pPr>
        <w:pStyle w:val="3"/>
      </w:pPr>
      <w:bookmarkStart w:id="47" w:name="_Toc213690060"/>
      <w:bookmarkStart w:id="48" w:name="_Toc213662935"/>
      <w:bookmarkStart w:id="49" w:name="_Toc213663129"/>
      <w:bookmarkStart w:id="50" w:name="_Toc213271636"/>
      <w:bookmarkStart w:id="51" w:name="_Toc213257646"/>
      <w:bookmarkStart w:id="52" w:name="_Toc212480152"/>
      <w:bookmarkStart w:id="53" w:name="_Toc213773530"/>
      <w:r>
        <w:rPr>
          <w:rFonts w:hint="eastAsia"/>
        </w:rPr>
        <w:t>4.1  钢渣粉</w:t>
      </w:r>
      <w:bookmarkEnd w:id="47"/>
      <w:bookmarkEnd w:id="48"/>
      <w:bookmarkEnd w:id="49"/>
      <w:bookmarkEnd w:id="50"/>
      <w:bookmarkEnd w:id="51"/>
      <w:bookmarkEnd w:id="52"/>
      <w:bookmarkEnd w:id="53"/>
    </w:p>
    <w:p>
      <w:pPr>
        <w:ind w:firstLine="0" w:firstLineChars="0"/>
      </w:pPr>
      <w:r>
        <w:rPr>
          <w:rFonts w:hint="eastAsia"/>
        </w:rPr>
        <w:t>4</w:t>
      </w:r>
      <w:r>
        <w:t>.1.1</w:t>
      </w:r>
      <w:r>
        <w:rPr>
          <w:rFonts w:hint="eastAsia"/>
        </w:rPr>
        <w:t>钢渣粉原材料宜符合下列规定：</w:t>
      </w:r>
    </w:p>
    <w:p>
      <w:pPr>
        <w:ind w:firstLine="480"/>
      </w:pPr>
      <w:r>
        <w:rPr>
          <w:rFonts w:hint="eastAsia"/>
        </w:rPr>
        <w:t>1  钢渣粉的活性指标不宜低于S95级，其他性能宜符合现行国家标准《用于水泥和混凝土中的钢渣粉》GB/T 20491的规定；</w:t>
      </w:r>
    </w:p>
    <w:p>
      <w:pPr>
        <w:ind w:firstLine="480"/>
      </w:pPr>
      <w:r>
        <w:rPr>
          <w:rFonts w:hint="eastAsia"/>
        </w:rPr>
        <w:t>2  钢渣粉宜符合《用于水泥的钢渣》YB/T 022标准规定的转炉或电炉钢渣，经磁选除铁处理后粉磨达到一定细度的产品，并满足金属铁含量≤</w:t>
      </w:r>
      <w:r>
        <w:t>2</w:t>
      </w:r>
      <w:r>
        <w:rPr>
          <w:rFonts w:hint="eastAsia"/>
        </w:rPr>
        <w:t>%、氧化亚铁含量≤</w:t>
      </w:r>
      <w:r>
        <w:t>10</w:t>
      </w:r>
      <w:r>
        <w:rPr>
          <w:rFonts w:hint="eastAsia"/>
        </w:rPr>
        <w:t>%。</w:t>
      </w:r>
    </w:p>
    <w:p>
      <w:pPr>
        <w:ind w:firstLine="0" w:firstLineChars="0"/>
      </w:pPr>
      <w:r>
        <w:rPr>
          <w:rFonts w:hint="eastAsia"/>
        </w:rPr>
        <w:t>4.1.2  钢渣粉使用时的温度不得高于60</w:t>
      </w:r>
      <w:r>
        <w:t xml:space="preserve"> </w:t>
      </w:r>
      <w:r>
        <w:rPr>
          <w:rFonts w:cs="Times New Roman"/>
        </w:rPr>
        <w:t>℃</w:t>
      </w:r>
      <w:r>
        <w:rPr>
          <w:rFonts w:hint="eastAsia"/>
        </w:rPr>
        <w:t>，胶结材出厂至使用的时间间隔不得少于7d。</w:t>
      </w:r>
    </w:p>
    <w:p>
      <w:pPr>
        <w:pStyle w:val="21"/>
        <w:ind w:firstLine="0" w:firstLineChars="0"/>
      </w:pPr>
      <w:r>
        <w:rPr>
          <w:rFonts w:hint="eastAsia"/>
        </w:rPr>
        <w:t>4.1.3  钢渣粉的比表面积宜按现行国家标准《用于水泥和混凝土中的钢渣粉》GB/T 20491规定的试验方法进行测定，氯离子含量宜按现行行业标准《水泥原料中氯离子的化学分析方法》JC/T 420规定的试验方法进行测定。</w:t>
      </w:r>
    </w:p>
    <w:p>
      <w:pPr>
        <w:ind w:firstLine="0" w:firstLineChars="0"/>
      </w:pPr>
      <w:r>
        <w:rPr>
          <w:rFonts w:hint="eastAsia"/>
        </w:rPr>
        <w:t>4.1.4  钢渣粉安定性试验宜符合国家标准《水泥标准度用水量、凝结时间、安定性检验方法》GB/T 1346的规定。</w:t>
      </w:r>
    </w:p>
    <w:p>
      <w:pPr>
        <w:ind w:firstLine="0" w:firstLineChars="0"/>
      </w:pPr>
      <w:r>
        <w:rPr>
          <w:rFonts w:hint="eastAsia"/>
        </w:rPr>
        <w:t>4.1.5  钢渣粉的强度试验宜符合现行国家标准《水泥胶砂强度检验方法(ISO法)》GB/T 17671的规定。</w:t>
      </w:r>
    </w:p>
    <w:p>
      <w:pPr>
        <w:pStyle w:val="3"/>
      </w:pPr>
      <w:bookmarkStart w:id="54" w:name="_Toc213690061"/>
      <w:bookmarkStart w:id="55" w:name="_Toc213662936"/>
      <w:bookmarkStart w:id="56" w:name="_Toc213257647"/>
      <w:bookmarkStart w:id="57" w:name="_Toc213271637"/>
      <w:bookmarkStart w:id="58" w:name="_Toc213773531"/>
      <w:bookmarkStart w:id="59" w:name="_Toc213663130"/>
      <w:bookmarkStart w:id="60" w:name="_Toc212480153"/>
      <w:r>
        <w:rPr>
          <w:rFonts w:hint="eastAsia"/>
        </w:rPr>
        <w:t>4.2  钢渣骨料</w:t>
      </w:r>
      <w:bookmarkEnd w:id="54"/>
      <w:bookmarkEnd w:id="55"/>
      <w:bookmarkEnd w:id="56"/>
      <w:bookmarkEnd w:id="57"/>
      <w:bookmarkEnd w:id="58"/>
      <w:bookmarkEnd w:id="59"/>
      <w:bookmarkEnd w:id="60"/>
    </w:p>
    <w:p>
      <w:pPr>
        <w:ind w:firstLine="0" w:firstLineChars="0"/>
      </w:pPr>
      <w:r>
        <w:rPr>
          <w:rFonts w:hint="eastAsia"/>
        </w:rPr>
        <w:t>4.2.1  钢渣细骨料的含泥量不宜超过5%，其他性能宜符合现行行业标准《普通混凝土用砂、石质量及检验方法标准》JGJ 52的规定。</w:t>
      </w:r>
    </w:p>
    <w:p>
      <w:pPr>
        <w:ind w:firstLine="0" w:firstLineChars="0"/>
      </w:pPr>
      <w:r>
        <w:rPr>
          <w:rFonts w:hint="eastAsia"/>
        </w:rPr>
        <w:t>4.2.2  钢渣细骨料的性能宜按现行行业标准《普通混凝土用砂、石质量及检验方法标准》JGJ 52规定的试验方法进行测定。</w:t>
      </w:r>
    </w:p>
    <w:p>
      <w:pPr>
        <w:ind w:firstLine="0" w:firstLineChars="0"/>
      </w:pPr>
      <w:r>
        <w:t>4.2.</w:t>
      </w:r>
      <w:r>
        <w:rPr>
          <w:rFonts w:hint="eastAsia"/>
        </w:rPr>
        <w:t>3</w:t>
      </w:r>
      <w:r>
        <w:t xml:space="preserve"> </w:t>
      </w:r>
      <w:r>
        <w:rPr>
          <w:rFonts w:hint="eastAsia"/>
        </w:rPr>
        <w:t xml:space="preserve"> 钢渣细骨料在使用前宜进行</w:t>
      </w:r>
      <w:r>
        <w:t>陈化处理，确保体积稳定。</w:t>
      </w:r>
    </w:p>
    <w:p>
      <w:pPr>
        <w:ind w:firstLine="0" w:firstLineChars="0"/>
      </w:pPr>
      <w:r>
        <w:rPr>
          <w:rFonts w:hint="eastAsia"/>
        </w:rPr>
        <w:t>4.2.4  钢渣用作细骨料的级配宜按照现行行业标准《普通预拌砂浆用钢渣砂》</w:t>
      </w:r>
      <w:r>
        <w:tab/>
      </w:r>
      <w:r>
        <w:rPr>
          <w:rFonts w:hint="eastAsia"/>
        </w:rPr>
        <w:t>YB/T 4201中的要求，满足表4.2.4指标。钢渣的实际颗粒级配除</w:t>
      </w:r>
      <w:r>
        <w:t>4.75</w:t>
      </w:r>
      <w:r>
        <w:rPr>
          <w:rFonts w:hint="eastAsia"/>
        </w:rPr>
        <w:t xml:space="preserve"> </w:t>
      </w:r>
      <w:r>
        <w:t>mm</w:t>
      </w:r>
      <w:r>
        <w:rPr>
          <w:rFonts w:hint="eastAsia"/>
        </w:rPr>
        <w:t>和</w:t>
      </w:r>
      <w:r>
        <w:t>600</w:t>
      </w:r>
      <w:r>
        <w:rPr>
          <w:rFonts w:hint="eastAsia"/>
        </w:rPr>
        <w:t xml:space="preserve"> </w:t>
      </w:r>
      <w:r>
        <w:t>µm</w:t>
      </w:r>
      <w:r>
        <w:rPr>
          <w:rFonts w:hint="eastAsia"/>
        </w:rPr>
        <w:t>筛档外，可以略有超出，但各级筛累计筛余超出值总和不大于</w:t>
      </w:r>
      <w:r>
        <w:t>5%</w:t>
      </w:r>
      <w:r>
        <w:rPr>
          <w:rFonts w:hint="eastAsia"/>
        </w:rPr>
        <w:t>。</w:t>
      </w:r>
    </w:p>
    <w:p>
      <w:pPr>
        <w:pStyle w:val="11"/>
      </w:pPr>
      <w:r>
        <w:rPr>
          <w:rFonts w:hint="eastAsia"/>
        </w:rPr>
        <w:t>表4.2.4  钢渣细骨料级配</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7"/>
        <w:gridCol w:w="1217"/>
        <w:gridCol w:w="1217"/>
        <w:gridCol w:w="1217"/>
        <w:gridCol w:w="1217"/>
        <w:gridCol w:w="1217"/>
        <w:gridCol w:w="1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14" w:type="pct"/>
            <w:vAlign w:val="center"/>
          </w:tcPr>
          <w:p>
            <w:pPr>
              <w:pStyle w:val="49"/>
            </w:pPr>
            <w:r>
              <w:rPr>
                <w:rFonts w:hint="eastAsia"/>
              </w:rPr>
              <w:t>颗粒级配</w:t>
            </w:r>
          </w:p>
        </w:tc>
        <w:tc>
          <w:tcPr>
            <w:tcW w:w="4286" w:type="pct"/>
            <w:gridSpan w:val="6"/>
            <w:vAlign w:val="center"/>
          </w:tcPr>
          <w:p>
            <w:pPr>
              <w:pStyle w:val="49"/>
            </w:pPr>
            <w:r>
              <w:rPr>
                <w:rFonts w:hint="eastAsia"/>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14" w:type="pct"/>
            <w:vAlign w:val="center"/>
          </w:tcPr>
          <w:p>
            <w:pPr>
              <w:pStyle w:val="49"/>
            </w:pPr>
            <w:r>
              <w:rPr>
                <w:rFonts w:hint="eastAsia"/>
              </w:rPr>
              <w:t>级配类别</w:t>
            </w:r>
          </w:p>
        </w:tc>
        <w:tc>
          <w:tcPr>
            <w:tcW w:w="4286" w:type="pct"/>
            <w:gridSpan w:val="6"/>
            <w:vAlign w:val="center"/>
          </w:tcPr>
          <w:p>
            <w:pPr>
              <w:pStyle w:val="49"/>
            </w:pPr>
            <w:r>
              <w:rPr>
                <w:rFonts w:hint="eastAsia"/>
              </w:rPr>
              <w:t>方孔筛累计筛余/%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14" w:type="pct"/>
            <w:vAlign w:val="center"/>
          </w:tcPr>
          <w:p>
            <w:pPr>
              <w:pStyle w:val="49"/>
            </w:pPr>
          </w:p>
        </w:tc>
        <w:tc>
          <w:tcPr>
            <w:tcW w:w="714" w:type="pct"/>
            <w:vAlign w:val="center"/>
          </w:tcPr>
          <w:p>
            <w:pPr>
              <w:pStyle w:val="49"/>
            </w:pPr>
            <w:r>
              <w:rPr>
                <w:rFonts w:hint="eastAsia"/>
              </w:rPr>
              <w:t>4.75mm</w:t>
            </w:r>
          </w:p>
        </w:tc>
        <w:tc>
          <w:tcPr>
            <w:tcW w:w="714" w:type="pct"/>
            <w:vAlign w:val="center"/>
          </w:tcPr>
          <w:p>
            <w:pPr>
              <w:pStyle w:val="49"/>
            </w:pPr>
            <w:r>
              <w:rPr>
                <w:rFonts w:hint="eastAsia"/>
              </w:rPr>
              <w:t>2.36mm</w:t>
            </w:r>
          </w:p>
        </w:tc>
        <w:tc>
          <w:tcPr>
            <w:tcW w:w="714" w:type="pct"/>
            <w:vAlign w:val="center"/>
          </w:tcPr>
          <w:p>
            <w:pPr>
              <w:pStyle w:val="49"/>
            </w:pPr>
            <w:r>
              <w:rPr>
                <w:rFonts w:hint="eastAsia"/>
              </w:rPr>
              <w:t>1.18mm</w:t>
            </w:r>
          </w:p>
        </w:tc>
        <w:tc>
          <w:tcPr>
            <w:tcW w:w="714" w:type="pct"/>
            <w:vAlign w:val="center"/>
          </w:tcPr>
          <w:p>
            <w:pPr>
              <w:pStyle w:val="49"/>
            </w:pPr>
            <w:r>
              <w:rPr>
                <w:rFonts w:hint="eastAsia"/>
              </w:rPr>
              <w:t>600µ</w:t>
            </w:r>
            <w:r>
              <w:t>m</w:t>
            </w:r>
          </w:p>
        </w:tc>
        <w:tc>
          <w:tcPr>
            <w:tcW w:w="714" w:type="pct"/>
            <w:vAlign w:val="center"/>
          </w:tcPr>
          <w:p>
            <w:pPr>
              <w:pStyle w:val="49"/>
            </w:pPr>
            <w:r>
              <w:rPr>
                <w:rFonts w:hint="eastAsia"/>
              </w:rPr>
              <w:t>300µ</w:t>
            </w:r>
            <w:r>
              <w:t>m</w:t>
            </w:r>
          </w:p>
        </w:tc>
        <w:tc>
          <w:tcPr>
            <w:tcW w:w="714" w:type="pct"/>
            <w:vAlign w:val="center"/>
          </w:tcPr>
          <w:p>
            <w:pPr>
              <w:pStyle w:val="49"/>
            </w:pPr>
            <w:r>
              <w:rPr>
                <w:rFonts w:hint="eastAsia"/>
              </w:rPr>
              <w:t>150µ</w:t>
            </w:r>
            <w: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14" w:type="pct"/>
            <w:vAlign w:val="center"/>
          </w:tcPr>
          <w:p>
            <w:pPr>
              <w:pStyle w:val="49"/>
            </w:pPr>
            <w:r>
              <w:rPr>
                <w:rFonts w:hint="eastAsia"/>
              </w:rPr>
              <w:t>Ⅰ区</w:t>
            </w:r>
          </w:p>
        </w:tc>
        <w:tc>
          <w:tcPr>
            <w:tcW w:w="714" w:type="pct"/>
            <w:vAlign w:val="center"/>
          </w:tcPr>
          <w:p>
            <w:pPr>
              <w:pStyle w:val="49"/>
            </w:pPr>
            <w:r>
              <w:rPr>
                <w:rFonts w:hint="eastAsia"/>
              </w:rPr>
              <w:t>0</w:t>
            </w:r>
          </w:p>
        </w:tc>
        <w:tc>
          <w:tcPr>
            <w:tcW w:w="714" w:type="pct"/>
            <w:vAlign w:val="center"/>
          </w:tcPr>
          <w:p>
            <w:pPr>
              <w:pStyle w:val="49"/>
            </w:pPr>
            <w:r>
              <w:rPr>
                <w:rFonts w:hint="eastAsia"/>
              </w:rPr>
              <w:t>3</w:t>
            </w:r>
            <w:r>
              <w:t>0</w:t>
            </w:r>
            <w:r>
              <w:rPr>
                <w:rFonts w:hint="eastAsia"/>
              </w:rPr>
              <w:t>~</w:t>
            </w:r>
            <w:r>
              <w:t>0</w:t>
            </w:r>
          </w:p>
        </w:tc>
        <w:tc>
          <w:tcPr>
            <w:tcW w:w="714" w:type="pct"/>
            <w:vAlign w:val="center"/>
          </w:tcPr>
          <w:p>
            <w:pPr>
              <w:pStyle w:val="49"/>
            </w:pPr>
            <w:r>
              <w:rPr>
                <w:rFonts w:hint="eastAsia"/>
              </w:rPr>
              <w:t>65~3</w:t>
            </w:r>
            <w:r>
              <w:t>0</w:t>
            </w:r>
          </w:p>
        </w:tc>
        <w:tc>
          <w:tcPr>
            <w:tcW w:w="714" w:type="pct"/>
            <w:vAlign w:val="center"/>
          </w:tcPr>
          <w:p>
            <w:pPr>
              <w:pStyle w:val="49"/>
            </w:pPr>
            <w:r>
              <w:rPr>
                <w:rFonts w:hint="eastAsia"/>
              </w:rPr>
              <w:t>85~71</w:t>
            </w:r>
          </w:p>
        </w:tc>
        <w:tc>
          <w:tcPr>
            <w:tcW w:w="714" w:type="pct"/>
            <w:vAlign w:val="center"/>
          </w:tcPr>
          <w:p>
            <w:pPr>
              <w:pStyle w:val="49"/>
            </w:pPr>
            <w:r>
              <w:rPr>
                <w:rFonts w:hint="eastAsia"/>
              </w:rPr>
              <w:t>95~80</w:t>
            </w:r>
          </w:p>
        </w:tc>
        <w:tc>
          <w:tcPr>
            <w:tcW w:w="714" w:type="pct"/>
            <w:vAlign w:val="center"/>
          </w:tcPr>
          <w:p>
            <w:pPr>
              <w:pStyle w:val="49"/>
            </w:pPr>
            <w:r>
              <w:rPr>
                <w:rFonts w:hint="eastAsia"/>
              </w:rPr>
              <w:t>100~85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14" w:type="pct"/>
            <w:vAlign w:val="center"/>
          </w:tcPr>
          <w:p>
            <w:pPr>
              <w:pStyle w:val="49"/>
            </w:pPr>
            <w:r>
              <w:rPr>
                <w:rFonts w:hint="eastAsia"/>
              </w:rPr>
              <w:t>Ⅱ区</w:t>
            </w:r>
          </w:p>
        </w:tc>
        <w:tc>
          <w:tcPr>
            <w:tcW w:w="714" w:type="pct"/>
            <w:vAlign w:val="center"/>
          </w:tcPr>
          <w:p>
            <w:pPr>
              <w:pStyle w:val="49"/>
            </w:pPr>
            <w:r>
              <w:rPr>
                <w:rFonts w:hint="eastAsia"/>
              </w:rPr>
              <w:t>0</w:t>
            </w:r>
          </w:p>
        </w:tc>
        <w:tc>
          <w:tcPr>
            <w:tcW w:w="714" w:type="pct"/>
            <w:vAlign w:val="center"/>
          </w:tcPr>
          <w:p>
            <w:pPr>
              <w:pStyle w:val="49"/>
            </w:pPr>
            <w:r>
              <w:rPr>
                <w:rFonts w:hint="eastAsia"/>
              </w:rPr>
              <w:t>2</w:t>
            </w:r>
            <w:r>
              <w:t>0</w:t>
            </w:r>
            <w:r>
              <w:rPr>
                <w:rFonts w:hint="eastAsia"/>
              </w:rPr>
              <w:t>~0</w:t>
            </w:r>
          </w:p>
        </w:tc>
        <w:tc>
          <w:tcPr>
            <w:tcW w:w="714" w:type="pct"/>
            <w:vAlign w:val="center"/>
          </w:tcPr>
          <w:p>
            <w:pPr>
              <w:pStyle w:val="49"/>
            </w:pPr>
            <w:r>
              <w:rPr>
                <w:rFonts w:hint="eastAsia"/>
              </w:rPr>
              <w:t>50~</w:t>
            </w:r>
            <w:r>
              <w:t>1</w:t>
            </w:r>
            <w:r>
              <w:rPr>
                <w:rFonts w:hint="eastAsia"/>
              </w:rPr>
              <w:t>0</w:t>
            </w:r>
          </w:p>
        </w:tc>
        <w:tc>
          <w:tcPr>
            <w:tcW w:w="714" w:type="pct"/>
            <w:vAlign w:val="center"/>
          </w:tcPr>
          <w:p>
            <w:pPr>
              <w:pStyle w:val="49"/>
            </w:pPr>
            <w:r>
              <w:rPr>
                <w:rFonts w:hint="eastAsia"/>
              </w:rPr>
              <w:t>70~41</w:t>
            </w:r>
          </w:p>
        </w:tc>
        <w:tc>
          <w:tcPr>
            <w:tcW w:w="714" w:type="pct"/>
            <w:vAlign w:val="center"/>
          </w:tcPr>
          <w:p>
            <w:pPr>
              <w:pStyle w:val="49"/>
            </w:pPr>
            <w:r>
              <w:rPr>
                <w:rFonts w:hint="eastAsia"/>
              </w:rPr>
              <w:t>92~70</w:t>
            </w:r>
          </w:p>
        </w:tc>
        <w:tc>
          <w:tcPr>
            <w:tcW w:w="714" w:type="pct"/>
            <w:vAlign w:val="center"/>
          </w:tcPr>
          <w:p>
            <w:pPr>
              <w:pStyle w:val="49"/>
            </w:pPr>
            <w:r>
              <w:rPr>
                <w:rFonts w:hint="eastAsia"/>
              </w:rPr>
              <w:t>100~80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14" w:type="pct"/>
            <w:vAlign w:val="center"/>
          </w:tcPr>
          <w:p>
            <w:pPr>
              <w:pStyle w:val="49"/>
            </w:pPr>
            <w:r>
              <w:rPr>
                <w:rFonts w:hint="eastAsia"/>
              </w:rPr>
              <w:t>Ⅲ区</w:t>
            </w:r>
          </w:p>
        </w:tc>
        <w:tc>
          <w:tcPr>
            <w:tcW w:w="714" w:type="pct"/>
            <w:vAlign w:val="center"/>
          </w:tcPr>
          <w:p>
            <w:pPr>
              <w:pStyle w:val="49"/>
            </w:pPr>
            <w:r>
              <w:rPr>
                <w:rFonts w:hint="eastAsia"/>
              </w:rPr>
              <w:t>0</w:t>
            </w:r>
          </w:p>
        </w:tc>
        <w:tc>
          <w:tcPr>
            <w:tcW w:w="714" w:type="pct"/>
            <w:vAlign w:val="center"/>
          </w:tcPr>
          <w:p>
            <w:pPr>
              <w:pStyle w:val="49"/>
            </w:pPr>
            <w:r>
              <w:rPr>
                <w:rFonts w:hint="eastAsia"/>
              </w:rPr>
              <w:t>1</w:t>
            </w:r>
            <w:r>
              <w:t>0</w:t>
            </w:r>
            <w:r>
              <w:rPr>
                <w:rFonts w:hint="eastAsia"/>
              </w:rPr>
              <w:t>~0</w:t>
            </w:r>
          </w:p>
        </w:tc>
        <w:tc>
          <w:tcPr>
            <w:tcW w:w="714" w:type="pct"/>
            <w:vAlign w:val="center"/>
          </w:tcPr>
          <w:p>
            <w:pPr>
              <w:pStyle w:val="49"/>
            </w:pPr>
            <w:r>
              <w:rPr>
                <w:rFonts w:hint="eastAsia"/>
              </w:rPr>
              <w:t>2</w:t>
            </w:r>
            <w:r>
              <w:t>0</w:t>
            </w:r>
            <w:r>
              <w:rPr>
                <w:rFonts w:hint="eastAsia"/>
              </w:rPr>
              <w:t>~0</w:t>
            </w:r>
          </w:p>
        </w:tc>
        <w:tc>
          <w:tcPr>
            <w:tcW w:w="714" w:type="pct"/>
            <w:vAlign w:val="center"/>
          </w:tcPr>
          <w:p>
            <w:pPr>
              <w:pStyle w:val="49"/>
            </w:pPr>
            <w:r>
              <w:rPr>
                <w:rFonts w:hint="eastAsia"/>
              </w:rPr>
              <w:t>40~16</w:t>
            </w:r>
          </w:p>
        </w:tc>
        <w:tc>
          <w:tcPr>
            <w:tcW w:w="714" w:type="pct"/>
            <w:vAlign w:val="center"/>
          </w:tcPr>
          <w:p>
            <w:pPr>
              <w:pStyle w:val="49"/>
            </w:pPr>
            <w:r>
              <w:rPr>
                <w:rFonts w:hint="eastAsia"/>
              </w:rPr>
              <w:t>85~55</w:t>
            </w:r>
          </w:p>
        </w:tc>
        <w:tc>
          <w:tcPr>
            <w:tcW w:w="714" w:type="pct"/>
            <w:vAlign w:val="center"/>
          </w:tcPr>
          <w:p>
            <w:pPr>
              <w:pStyle w:val="49"/>
            </w:pPr>
            <w:r>
              <w:rPr>
                <w:rFonts w:hint="eastAsia"/>
              </w:rPr>
              <w:t>100~75</w:t>
            </w:r>
          </w:p>
        </w:tc>
      </w:tr>
    </w:tbl>
    <w:p>
      <w:pPr>
        <w:ind w:firstLine="0" w:firstLineChars="0"/>
      </w:pPr>
      <w:r>
        <w:rPr>
          <w:rFonts w:hint="eastAsia"/>
        </w:rPr>
        <w:t>4.</w:t>
      </w:r>
      <w:r>
        <w:t>2</w:t>
      </w:r>
      <w:r>
        <w:rPr>
          <w:rFonts w:hint="eastAsia"/>
        </w:rPr>
        <w:t>.5  钢渣粗骨料的性能宜符合现行行业标准《普通混凝土用砂石质量及检验方法标准》JGJ 52的规定。</w:t>
      </w:r>
    </w:p>
    <w:p>
      <w:pPr>
        <w:ind w:firstLine="0" w:firstLineChars="0"/>
      </w:pPr>
      <w:r>
        <w:rPr>
          <w:rFonts w:hint="eastAsia"/>
        </w:rPr>
        <w:t>4.</w:t>
      </w:r>
      <w:r>
        <w:t>2</w:t>
      </w:r>
      <w:r>
        <w:rPr>
          <w:rFonts w:hint="eastAsia"/>
        </w:rPr>
        <w:t>.6  钢渣粗骨料宜采用连续级配的钢渣；当粗骨料颗粒级配不符合要求时，可采取多种级配组合的方式进行调整。</w:t>
      </w:r>
    </w:p>
    <w:p>
      <w:pPr>
        <w:ind w:firstLine="0" w:firstLineChars="0"/>
      </w:pPr>
      <w:r>
        <w:t xml:space="preserve">4.2.7  </w:t>
      </w:r>
      <w:r>
        <w:rPr>
          <w:rFonts w:hint="eastAsia"/>
        </w:rPr>
        <w:t>钢渣粗骨料最大粒径宜符合现行国家标准《混凝土结构工程施工规范》</w:t>
      </w:r>
      <w:r>
        <w:t>GB50666</w:t>
      </w:r>
      <w:r>
        <w:rPr>
          <w:rFonts w:hint="eastAsia"/>
        </w:rPr>
        <w:t>和《混凝土质量控制标准》</w:t>
      </w:r>
      <w:r>
        <w:t>GB 50164</w:t>
      </w:r>
      <w:r>
        <w:rPr>
          <w:rFonts w:hint="eastAsia"/>
        </w:rPr>
        <w:t>的规定。且要求颗粒洁净、干燥、无杂质，其粒径规格应符合表</w:t>
      </w:r>
      <w:r>
        <w:t>4.2.7</w:t>
      </w:r>
      <w:r>
        <w:rPr>
          <w:rFonts w:hint="eastAsia"/>
        </w:rPr>
        <w:t>的规定。</w:t>
      </w:r>
    </w:p>
    <w:p>
      <w:pPr>
        <w:pStyle w:val="11"/>
      </w:pPr>
      <w:r>
        <w:rPr>
          <w:rFonts w:hint="eastAsia"/>
        </w:rPr>
        <w:t>表4.</w:t>
      </w:r>
      <w:r>
        <w:t>2</w:t>
      </w:r>
      <w:r>
        <w:rPr>
          <w:rFonts w:hint="eastAsia"/>
        </w:rPr>
        <w:t>.7  钢渣粗骨料级配</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2"/>
        <w:gridCol w:w="1382"/>
        <w:gridCol w:w="1383"/>
        <w:gridCol w:w="1383"/>
        <w:gridCol w:w="1383"/>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2" w:type="dxa"/>
            <w:vMerge w:val="restart"/>
            <w:vAlign w:val="center"/>
          </w:tcPr>
          <w:p>
            <w:pPr>
              <w:pStyle w:val="49"/>
            </w:pPr>
            <w:r>
              <w:rPr>
                <w:rFonts w:hint="eastAsia"/>
              </w:rPr>
              <w:t>骨料规格（mm）</w:t>
            </w:r>
          </w:p>
        </w:tc>
        <w:tc>
          <w:tcPr>
            <w:tcW w:w="6914" w:type="dxa"/>
            <w:gridSpan w:val="5"/>
            <w:vAlign w:val="center"/>
          </w:tcPr>
          <w:p>
            <w:pPr>
              <w:pStyle w:val="49"/>
            </w:pPr>
            <w:r>
              <w:rPr>
                <w:rFonts w:hint="eastAsia"/>
              </w:rPr>
              <w:t>通过下列筛孔（mm）的质量百分率（%）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2" w:type="dxa"/>
            <w:vMerge w:val="continue"/>
            <w:vAlign w:val="center"/>
          </w:tcPr>
          <w:p>
            <w:pPr>
              <w:pStyle w:val="49"/>
            </w:pPr>
          </w:p>
        </w:tc>
        <w:tc>
          <w:tcPr>
            <w:tcW w:w="1382" w:type="dxa"/>
            <w:vAlign w:val="center"/>
          </w:tcPr>
          <w:p>
            <w:pPr>
              <w:pStyle w:val="49"/>
            </w:pPr>
            <w:r>
              <w:rPr>
                <w:rFonts w:hint="eastAsia"/>
              </w:rPr>
              <w:t>26.5</w:t>
            </w:r>
          </w:p>
        </w:tc>
        <w:tc>
          <w:tcPr>
            <w:tcW w:w="1383" w:type="dxa"/>
            <w:vAlign w:val="center"/>
          </w:tcPr>
          <w:p>
            <w:pPr>
              <w:pStyle w:val="49"/>
            </w:pPr>
            <w:r>
              <w:rPr>
                <w:rFonts w:hint="eastAsia"/>
              </w:rPr>
              <w:t>19.0</w:t>
            </w:r>
          </w:p>
        </w:tc>
        <w:tc>
          <w:tcPr>
            <w:tcW w:w="1383" w:type="dxa"/>
            <w:vAlign w:val="center"/>
          </w:tcPr>
          <w:p>
            <w:pPr>
              <w:pStyle w:val="49"/>
            </w:pPr>
            <w:r>
              <w:rPr>
                <w:rFonts w:hint="eastAsia"/>
              </w:rPr>
              <w:t>13.2</w:t>
            </w:r>
          </w:p>
        </w:tc>
        <w:tc>
          <w:tcPr>
            <w:tcW w:w="1383" w:type="dxa"/>
            <w:vAlign w:val="center"/>
          </w:tcPr>
          <w:p>
            <w:pPr>
              <w:pStyle w:val="49"/>
            </w:pPr>
            <w:r>
              <w:rPr>
                <w:rFonts w:hint="eastAsia"/>
              </w:rPr>
              <w:t>9.5</w:t>
            </w:r>
          </w:p>
        </w:tc>
        <w:tc>
          <w:tcPr>
            <w:tcW w:w="1383" w:type="dxa"/>
            <w:vAlign w:val="center"/>
          </w:tcPr>
          <w:p>
            <w:pPr>
              <w:pStyle w:val="49"/>
            </w:pPr>
            <w:r>
              <w:rPr>
                <w:rFonts w:hint="eastAsia"/>
              </w:rPr>
              <w:t>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2" w:type="dxa"/>
            <w:vAlign w:val="center"/>
          </w:tcPr>
          <w:p>
            <w:pPr>
              <w:pStyle w:val="49"/>
            </w:pPr>
            <w:r>
              <w:rPr>
                <w:rFonts w:hint="eastAsia"/>
              </w:rPr>
              <w:t>15~20</w:t>
            </w:r>
          </w:p>
        </w:tc>
        <w:tc>
          <w:tcPr>
            <w:tcW w:w="1382" w:type="dxa"/>
            <w:vAlign w:val="center"/>
          </w:tcPr>
          <w:p>
            <w:pPr>
              <w:pStyle w:val="49"/>
            </w:pPr>
            <w:r>
              <w:rPr>
                <w:rFonts w:hint="eastAsia"/>
              </w:rPr>
              <w:t>100</w:t>
            </w:r>
          </w:p>
        </w:tc>
        <w:tc>
          <w:tcPr>
            <w:tcW w:w="1383" w:type="dxa"/>
            <w:vAlign w:val="center"/>
          </w:tcPr>
          <w:p>
            <w:pPr>
              <w:pStyle w:val="49"/>
            </w:pPr>
            <w:r>
              <w:rPr>
                <w:rFonts w:hint="eastAsia"/>
              </w:rPr>
              <w:t>90~100</w:t>
            </w:r>
          </w:p>
        </w:tc>
        <w:tc>
          <w:tcPr>
            <w:tcW w:w="1383" w:type="dxa"/>
            <w:vAlign w:val="center"/>
          </w:tcPr>
          <w:p>
            <w:pPr>
              <w:pStyle w:val="49"/>
              <w:rPr>
                <w:strike/>
              </w:rPr>
            </w:pPr>
            <w:r>
              <w:rPr>
                <w:rFonts w:hint="eastAsia"/>
              </w:rPr>
              <w:t>10~30</w:t>
            </w:r>
          </w:p>
        </w:tc>
        <w:tc>
          <w:tcPr>
            <w:tcW w:w="1383" w:type="dxa"/>
            <w:vAlign w:val="center"/>
          </w:tcPr>
          <w:p>
            <w:pPr>
              <w:pStyle w:val="49"/>
            </w:pPr>
            <w:r>
              <w:rPr>
                <w:rFonts w:hint="eastAsia"/>
              </w:rPr>
              <w:t>0~10</w:t>
            </w:r>
          </w:p>
        </w:tc>
        <w:tc>
          <w:tcPr>
            <w:tcW w:w="1383" w:type="dxa"/>
            <w:vAlign w:val="center"/>
          </w:tcPr>
          <w:p>
            <w:pPr>
              <w:pStyle w:val="49"/>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2" w:type="dxa"/>
            <w:vAlign w:val="center"/>
          </w:tcPr>
          <w:p>
            <w:pPr>
              <w:pStyle w:val="49"/>
            </w:pPr>
            <w:r>
              <w:rPr>
                <w:rFonts w:hint="eastAsia"/>
              </w:rPr>
              <w:t>10~20</w:t>
            </w:r>
          </w:p>
        </w:tc>
        <w:tc>
          <w:tcPr>
            <w:tcW w:w="1382" w:type="dxa"/>
            <w:vAlign w:val="center"/>
          </w:tcPr>
          <w:p>
            <w:pPr>
              <w:pStyle w:val="49"/>
            </w:pPr>
            <w:r>
              <w:rPr>
                <w:rFonts w:hint="eastAsia"/>
              </w:rPr>
              <w:t>100</w:t>
            </w:r>
          </w:p>
        </w:tc>
        <w:tc>
          <w:tcPr>
            <w:tcW w:w="1383" w:type="dxa"/>
            <w:vAlign w:val="center"/>
          </w:tcPr>
          <w:p>
            <w:pPr>
              <w:pStyle w:val="49"/>
            </w:pPr>
            <w:r>
              <w:rPr>
                <w:rFonts w:hint="eastAsia"/>
              </w:rPr>
              <w:t>90~100</w:t>
            </w:r>
          </w:p>
        </w:tc>
        <w:tc>
          <w:tcPr>
            <w:tcW w:w="1383" w:type="dxa"/>
            <w:vAlign w:val="center"/>
          </w:tcPr>
          <w:p>
            <w:pPr>
              <w:pStyle w:val="49"/>
              <w:rPr>
                <w:strike/>
              </w:rPr>
            </w:pPr>
            <w:r>
              <w:rPr>
                <w:rFonts w:hint="eastAsia"/>
              </w:rPr>
              <w:t>10~40</w:t>
            </w:r>
          </w:p>
        </w:tc>
        <w:tc>
          <w:tcPr>
            <w:tcW w:w="1383" w:type="dxa"/>
            <w:vAlign w:val="center"/>
          </w:tcPr>
          <w:p>
            <w:pPr>
              <w:pStyle w:val="49"/>
            </w:pPr>
            <w:r>
              <w:rPr>
                <w:rFonts w:hint="eastAsia"/>
              </w:rPr>
              <w:t>0~15</w:t>
            </w:r>
          </w:p>
        </w:tc>
        <w:tc>
          <w:tcPr>
            <w:tcW w:w="1383" w:type="dxa"/>
            <w:vAlign w:val="center"/>
          </w:tcPr>
          <w:p>
            <w:pPr>
              <w:pStyle w:val="49"/>
              <w:rPr>
                <w:strike/>
              </w:rPr>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2" w:type="dxa"/>
            <w:vAlign w:val="center"/>
          </w:tcPr>
          <w:p>
            <w:pPr>
              <w:pStyle w:val="49"/>
            </w:pPr>
            <w:r>
              <w:rPr>
                <w:rFonts w:hint="eastAsia"/>
              </w:rPr>
              <w:t>10~15</w:t>
            </w:r>
          </w:p>
        </w:tc>
        <w:tc>
          <w:tcPr>
            <w:tcW w:w="1382" w:type="dxa"/>
            <w:vAlign w:val="center"/>
          </w:tcPr>
          <w:p>
            <w:pPr>
              <w:pStyle w:val="49"/>
            </w:pPr>
            <w:r>
              <w:rPr>
                <w:rFonts w:hint="eastAsia"/>
              </w:rPr>
              <w:t>-</w:t>
            </w:r>
          </w:p>
        </w:tc>
        <w:tc>
          <w:tcPr>
            <w:tcW w:w="1383" w:type="dxa"/>
            <w:vAlign w:val="center"/>
          </w:tcPr>
          <w:p>
            <w:pPr>
              <w:pStyle w:val="49"/>
            </w:pPr>
            <w:r>
              <w:rPr>
                <w:rFonts w:hint="eastAsia"/>
              </w:rPr>
              <w:t>100</w:t>
            </w:r>
          </w:p>
        </w:tc>
        <w:tc>
          <w:tcPr>
            <w:tcW w:w="1383" w:type="dxa"/>
            <w:vAlign w:val="center"/>
          </w:tcPr>
          <w:p>
            <w:pPr>
              <w:pStyle w:val="49"/>
            </w:pPr>
            <w:r>
              <w:rPr>
                <w:rFonts w:hint="eastAsia"/>
              </w:rPr>
              <w:t>90~100</w:t>
            </w:r>
          </w:p>
        </w:tc>
        <w:tc>
          <w:tcPr>
            <w:tcW w:w="1383" w:type="dxa"/>
            <w:vAlign w:val="center"/>
          </w:tcPr>
          <w:p>
            <w:pPr>
              <w:pStyle w:val="49"/>
            </w:pPr>
            <w:r>
              <w:rPr>
                <w:rFonts w:hint="eastAsia"/>
              </w:rPr>
              <w:t>0~20</w:t>
            </w:r>
          </w:p>
        </w:tc>
        <w:tc>
          <w:tcPr>
            <w:tcW w:w="1383" w:type="dxa"/>
            <w:vAlign w:val="center"/>
          </w:tcPr>
          <w:p>
            <w:pPr>
              <w:pStyle w:val="49"/>
              <w:rPr>
                <w:strike/>
              </w:rPr>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2" w:type="dxa"/>
            <w:vAlign w:val="center"/>
          </w:tcPr>
          <w:p>
            <w:pPr>
              <w:pStyle w:val="49"/>
            </w:pPr>
            <w:r>
              <w:rPr>
                <w:rFonts w:hint="eastAsia"/>
              </w:rPr>
              <w:t>5~15</w:t>
            </w:r>
          </w:p>
        </w:tc>
        <w:tc>
          <w:tcPr>
            <w:tcW w:w="1382" w:type="dxa"/>
            <w:vAlign w:val="center"/>
          </w:tcPr>
          <w:p>
            <w:pPr>
              <w:pStyle w:val="49"/>
            </w:pPr>
            <w:r>
              <w:rPr>
                <w:rFonts w:hint="eastAsia"/>
              </w:rPr>
              <w:t>-</w:t>
            </w:r>
          </w:p>
        </w:tc>
        <w:tc>
          <w:tcPr>
            <w:tcW w:w="1383" w:type="dxa"/>
            <w:vAlign w:val="center"/>
          </w:tcPr>
          <w:p>
            <w:pPr>
              <w:pStyle w:val="49"/>
            </w:pPr>
            <w:r>
              <w:rPr>
                <w:rFonts w:hint="eastAsia"/>
              </w:rPr>
              <w:t>100</w:t>
            </w:r>
          </w:p>
        </w:tc>
        <w:tc>
          <w:tcPr>
            <w:tcW w:w="1383" w:type="dxa"/>
            <w:vAlign w:val="center"/>
          </w:tcPr>
          <w:p>
            <w:pPr>
              <w:pStyle w:val="49"/>
            </w:pPr>
            <w:r>
              <w:rPr>
                <w:rFonts w:hint="eastAsia"/>
              </w:rPr>
              <w:t>90~100</w:t>
            </w:r>
          </w:p>
        </w:tc>
        <w:tc>
          <w:tcPr>
            <w:tcW w:w="1383" w:type="dxa"/>
            <w:vAlign w:val="center"/>
          </w:tcPr>
          <w:p>
            <w:pPr>
              <w:pStyle w:val="49"/>
            </w:pPr>
            <w:r>
              <w:rPr>
                <w:rFonts w:hint="eastAsia"/>
              </w:rPr>
              <w:t>50~70</w:t>
            </w:r>
          </w:p>
        </w:tc>
        <w:tc>
          <w:tcPr>
            <w:tcW w:w="1383" w:type="dxa"/>
            <w:vAlign w:val="center"/>
          </w:tcPr>
          <w:p>
            <w:pPr>
              <w:pStyle w:val="49"/>
            </w:pPr>
            <w:r>
              <w:rPr>
                <w:rFonts w:hint="eastAsia"/>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2" w:type="dxa"/>
            <w:vAlign w:val="center"/>
          </w:tcPr>
          <w:p>
            <w:pPr>
              <w:pStyle w:val="49"/>
            </w:pPr>
            <w:r>
              <w:rPr>
                <w:rFonts w:hint="eastAsia"/>
              </w:rPr>
              <w:t>5~10</w:t>
            </w:r>
          </w:p>
        </w:tc>
        <w:tc>
          <w:tcPr>
            <w:tcW w:w="1382" w:type="dxa"/>
            <w:vAlign w:val="center"/>
          </w:tcPr>
          <w:p>
            <w:pPr>
              <w:pStyle w:val="49"/>
            </w:pPr>
            <w:r>
              <w:rPr>
                <w:rFonts w:hint="eastAsia"/>
              </w:rPr>
              <w:t>-</w:t>
            </w:r>
          </w:p>
        </w:tc>
        <w:tc>
          <w:tcPr>
            <w:tcW w:w="1383" w:type="dxa"/>
            <w:vAlign w:val="center"/>
          </w:tcPr>
          <w:p>
            <w:pPr>
              <w:pStyle w:val="49"/>
            </w:pPr>
            <w:r>
              <w:rPr>
                <w:rFonts w:hint="eastAsia"/>
              </w:rPr>
              <w:t>-</w:t>
            </w:r>
          </w:p>
        </w:tc>
        <w:tc>
          <w:tcPr>
            <w:tcW w:w="1383" w:type="dxa"/>
            <w:vAlign w:val="center"/>
          </w:tcPr>
          <w:p>
            <w:pPr>
              <w:pStyle w:val="49"/>
            </w:pPr>
            <w:r>
              <w:rPr>
                <w:rFonts w:hint="eastAsia"/>
              </w:rPr>
              <w:t>100</w:t>
            </w:r>
          </w:p>
        </w:tc>
        <w:tc>
          <w:tcPr>
            <w:tcW w:w="1383" w:type="dxa"/>
            <w:vAlign w:val="center"/>
          </w:tcPr>
          <w:p>
            <w:pPr>
              <w:pStyle w:val="49"/>
            </w:pPr>
            <w:r>
              <w:rPr>
                <w:rFonts w:hint="eastAsia"/>
              </w:rPr>
              <w:t>80~100</w:t>
            </w:r>
          </w:p>
        </w:tc>
        <w:tc>
          <w:tcPr>
            <w:tcW w:w="1383" w:type="dxa"/>
            <w:vAlign w:val="center"/>
          </w:tcPr>
          <w:p>
            <w:pPr>
              <w:pStyle w:val="49"/>
            </w:pPr>
            <w:r>
              <w:rPr>
                <w:rFonts w:hint="eastAsia"/>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2" w:type="dxa"/>
            <w:vAlign w:val="center"/>
          </w:tcPr>
          <w:p>
            <w:pPr>
              <w:pStyle w:val="49"/>
            </w:pPr>
            <w:r>
              <w:rPr>
                <w:rFonts w:hint="eastAsia"/>
              </w:rPr>
              <w:t>3~5</w:t>
            </w:r>
          </w:p>
        </w:tc>
        <w:tc>
          <w:tcPr>
            <w:tcW w:w="1382" w:type="dxa"/>
            <w:vAlign w:val="center"/>
          </w:tcPr>
          <w:p>
            <w:pPr>
              <w:pStyle w:val="49"/>
            </w:pPr>
            <w:r>
              <w:rPr>
                <w:rFonts w:hint="eastAsia"/>
              </w:rPr>
              <w:t>-</w:t>
            </w:r>
          </w:p>
        </w:tc>
        <w:tc>
          <w:tcPr>
            <w:tcW w:w="1383" w:type="dxa"/>
            <w:vAlign w:val="center"/>
          </w:tcPr>
          <w:p>
            <w:pPr>
              <w:pStyle w:val="49"/>
            </w:pPr>
            <w:r>
              <w:rPr>
                <w:rFonts w:hint="eastAsia"/>
              </w:rPr>
              <w:t>-</w:t>
            </w:r>
          </w:p>
        </w:tc>
        <w:tc>
          <w:tcPr>
            <w:tcW w:w="1383" w:type="dxa"/>
            <w:vAlign w:val="center"/>
          </w:tcPr>
          <w:p>
            <w:pPr>
              <w:pStyle w:val="49"/>
            </w:pPr>
            <w:r>
              <w:rPr>
                <w:rFonts w:hint="eastAsia"/>
              </w:rPr>
              <w:t>-</w:t>
            </w:r>
          </w:p>
        </w:tc>
        <w:tc>
          <w:tcPr>
            <w:tcW w:w="1383" w:type="dxa"/>
            <w:vAlign w:val="center"/>
          </w:tcPr>
          <w:p>
            <w:pPr>
              <w:pStyle w:val="49"/>
            </w:pPr>
            <w:r>
              <w:rPr>
                <w:rFonts w:hint="eastAsia"/>
              </w:rPr>
              <w:t>100</w:t>
            </w:r>
          </w:p>
        </w:tc>
        <w:tc>
          <w:tcPr>
            <w:tcW w:w="1383" w:type="dxa"/>
            <w:vAlign w:val="center"/>
          </w:tcPr>
          <w:p>
            <w:pPr>
              <w:pStyle w:val="49"/>
            </w:pPr>
            <w:r>
              <w:rPr>
                <w:rFonts w:hint="eastAsia"/>
              </w:rPr>
              <w:t>90~100</w:t>
            </w:r>
          </w:p>
        </w:tc>
      </w:tr>
    </w:tbl>
    <w:p>
      <w:pPr>
        <w:ind w:firstLine="0" w:firstLineChars="0"/>
      </w:pPr>
      <w:r>
        <w:rPr>
          <w:rFonts w:hint="eastAsia"/>
        </w:rPr>
        <w:t>4.</w:t>
      </w:r>
      <w:r>
        <w:t>2</w:t>
      </w:r>
      <w:r>
        <w:rPr>
          <w:rFonts w:hint="eastAsia"/>
        </w:rPr>
        <w:t>.8  钢渣粗骨料性能宜按现行行业标准《普通混凝土用砂、石质量及检验方法标准》JGJ 52规定的试验方法进行测定。</w:t>
      </w:r>
    </w:p>
    <w:p>
      <w:pPr>
        <w:pStyle w:val="3"/>
      </w:pPr>
      <w:bookmarkStart w:id="61" w:name="_Toc213773532"/>
      <w:bookmarkStart w:id="62" w:name="_Toc213257648"/>
      <w:bookmarkStart w:id="63" w:name="_Toc213663131"/>
      <w:bookmarkStart w:id="64" w:name="_Toc213271638"/>
      <w:bookmarkStart w:id="65" w:name="_Toc213690062"/>
      <w:bookmarkStart w:id="66" w:name="_Toc212480154"/>
      <w:bookmarkStart w:id="67" w:name="_Toc213662937"/>
      <w:r>
        <w:rPr>
          <w:rFonts w:hint="eastAsia"/>
        </w:rPr>
        <w:t>4.3  矿物掺合料及外加剂</w:t>
      </w:r>
      <w:bookmarkEnd w:id="61"/>
      <w:bookmarkEnd w:id="62"/>
      <w:bookmarkEnd w:id="63"/>
      <w:bookmarkEnd w:id="64"/>
      <w:bookmarkEnd w:id="65"/>
      <w:bookmarkEnd w:id="66"/>
      <w:bookmarkEnd w:id="67"/>
    </w:p>
    <w:p>
      <w:pPr>
        <w:ind w:firstLine="0" w:firstLineChars="0"/>
      </w:pPr>
      <w:r>
        <w:rPr>
          <w:rFonts w:hint="eastAsia"/>
        </w:rPr>
        <w:t>4.</w:t>
      </w:r>
      <w:r>
        <w:t>3</w:t>
      </w:r>
      <w:r>
        <w:rPr>
          <w:rFonts w:hint="eastAsia"/>
        </w:rPr>
        <w:t>.1  矿物掺合料宜采用F类粉煤灰（</w:t>
      </w:r>
      <w:r>
        <w:t>氧化钙含量小于10%</w:t>
      </w:r>
      <w:r>
        <w:rPr>
          <w:rFonts w:hint="eastAsia"/>
        </w:rPr>
        <w:t>）、硅灰。粉煤灰的性能宜符合现行国家标准《用于水泥和混凝土中的粉煤灰》GB/T 1596的规定，硅灰的性能宜符合现行国家标准《砂浆和混凝土用硅灰》GB/T 27690的规定。</w:t>
      </w:r>
    </w:p>
    <w:p>
      <w:pPr>
        <w:ind w:firstLine="0" w:firstLineChars="0"/>
      </w:pPr>
      <w:r>
        <w:rPr>
          <w:rFonts w:hint="eastAsia"/>
        </w:rPr>
        <w:t>4.</w:t>
      </w:r>
      <w:r>
        <w:t>3</w:t>
      </w:r>
      <w:r>
        <w:rPr>
          <w:rFonts w:hint="eastAsia"/>
        </w:rPr>
        <w:t>.2  矿物掺合料的性能宜符合现行国家标准《用于水泥和混凝土中的粉煤灰》GB/T 1596、《砂浆和混凝土用硅灰》GB/T 27690的规定。</w:t>
      </w:r>
    </w:p>
    <w:p>
      <w:pPr>
        <w:ind w:firstLine="0" w:firstLineChars="0"/>
      </w:pPr>
      <w:r>
        <w:rPr>
          <w:rFonts w:hint="eastAsia"/>
        </w:rPr>
        <w:t>4.</w:t>
      </w:r>
      <w:r>
        <w:t>3</w:t>
      </w:r>
      <w:r>
        <w:rPr>
          <w:rFonts w:hint="eastAsia"/>
        </w:rPr>
        <w:t>.3  矿物掺合料储存时不得与其他材料混杂，且应防止受潮。</w:t>
      </w:r>
    </w:p>
    <w:p>
      <w:pPr>
        <w:ind w:firstLine="0" w:firstLineChars="0"/>
      </w:pPr>
      <w:r>
        <w:rPr>
          <w:rFonts w:hint="eastAsia"/>
        </w:rPr>
        <w:t>4.</w:t>
      </w:r>
      <w:r>
        <w:t>3</w:t>
      </w:r>
      <w:r>
        <w:rPr>
          <w:rFonts w:hint="eastAsia"/>
        </w:rPr>
        <w:t>.</w:t>
      </w:r>
      <w:r>
        <w:t>4</w:t>
      </w:r>
      <w:r>
        <w:rPr>
          <w:rFonts w:hint="eastAsia"/>
        </w:rPr>
        <w:t xml:space="preserve">  采用钢渣骨料的混凝土，宜选用高效减水剂或高性能减水剂，必要时掺加增稠、早强功能的外加剂，提高拌合物的抗离析性能。钢渣混凝土中掺入外加剂的品种与掺量宜根据混凝土强度等级、施工要求、运输距离、混凝土所处环境条件等因素通过试验确定。选用的外加剂应在使用前测定</w:t>
      </w:r>
      <w:r>
        <w:t>pH</w:t>
      </w:r>
      <w:r>
        <w:rPr>
          <w:rFonts w:hint="eastAsia"/>
        </w:rPr>
        <w:t>值、氯离子含量、硫酸钠含量、总碱量，且满足现行国家标准《混凝土外加剂》</w:t>
      </w:r>
      <w:r>
        <w:t>GB 8076</w:t>
      </w:r>
      <w:r>
        <w:rPr>
          <w:rFonts w:hint="eastAsia"/>
        </w:rPr>
        <w:t>使用要求。当地下水位较高及土的含水量较大时，宜根据试验确定添加早强剂的掺量。</w:t>
      </w:r>
    </w:p>
    <w:p>
      <w:pPr>
        <w:ind w:firstLine="0" w:firstLineChars="0"/>
      </w:pPr>
    </w:p>
    <w:p>
      <w:pPr>
        <w:ind w:firstLine="0" w:firstLineChars="0"/>
        <w:sectPr>
          <w:pgSz w:w="11906" w:h="16838"/>
          <w:pgMar w:top="1440" w:right="1800" w:bottom="1440" w:left="1800" w:header="851" w:footer="992" w:gutter="0"/>
          <w:cols w:space="425" w:num="1"/>
          <w:docGrid w:type="lines" w:linePitch="312" w:charSpace="0"/>
        </w:sectPr>
      </w:pPr>
    </w:p>
    <w:p>
      <w:pPr>
        <w:pStyle w:val="2"/>
      </w:pPr>
      <w:bookmarkStart w:id="68" w:name="_Toc213663132"/>
      <w:bookmarkStart w:id="69" w:name="_Toc213662938"/>
      <w:bookmarkStart w:id="70" w:name="_Toc213773533"/>
      <w:bookmarkStart w:id="71" w:name="_Toc213690063"/>
      <w:bookmarkStart w:id="72" w:name="_Toc213271639"/>
      <w:bookmarkStart w:id="73" w:name="_Toc213257649"/>
      <w:bookmarkStart w:id="74" w:name="_Toc212480155"/>
      <w:r>
        <w:rPr>
          <w:rFonts w:hint="eastAsia"/>
        </w:rPr>
        <w:t>5  钢渣混凝土配合比设计</w:t>
      </w:r>
      <w:bookmarkEnd w:id="68"/>
      <w:bookmarkEnd w:id="69"/>
      <w:bookmarkEnd w:id="70"/>
      <w:bookmarkEnd w:id="71"/>
    </w:p>
    <w:p>
      <w:pPr>
        <w:pStyle w:val="3"/>
      </w:pPr>
      <w:bookmarkStart w:id="75" w:name="_Toc213773534"/>
      <w:bookmarkStart w:id="76" w:name="_Toc213663133"/>
      <w:bookmarkStart w:id="77" w:name="_Toc213662939"/>
      <w:bookmarkStart w:id="78" w:name="_Toc213690064"/>
      <w:r>
        <w:rPr>
          <w:rFonts w:hint="eastAsia"/>
        </w:rPr>
        <w:t>5.</w:t>
      </w:r>
      <w:r>
        <w:t>1</w:t>
      </w:r>
      <w:r>
        <w:rPr>
          <w:rFonts w:hint="eastAsia"/>
        </w:rPr>
        <w:t xml:space="preserve">  一般规定</w:t>
      </w:r>
      <w:bookmarkEnd w:id="75"/>
    </w:p>
    <w:p>
      <w:pPr>
        <w:ind w:firstLine="0" w:firstLineChars="0"/>
      </w:pPr>
      <w:r>
        <w:rPr>
          <w:rFonts w:hint="eastAsia"/>
        </w:rPr>
        <w:t>5.1.1  钢渣混凝土配合比设计应根据混凝土强度等级、力学性能、施工性能、长期性能和耐久性能要求，在满足工程设计和施工要求的条件下，遵循低水泥用量的原则进行。</w:t>
      </w:r>
    </w:p>
    <w:p>
      <w:pPr>
        <w:ind w:firstLine="0" w:firstLineChars="0"/>
      </w:pPr>
      <w:r>
        <w:rPr>
          <w:rFonts w:hint="eastAsia"/>
        </w:rPr>
        <w:t>5.1.2  钢渣混凝土配合比设计宜采用工程实际应用的原材料；配合比设计所采用的细骨料含水率不宜大于0.5%，粗骨料含水率不宜大于0.2%。</w:t>
      </w:r>
    </w:p>
    <w:p>
      <w:pPr>
        <w:ind w:firstLine="0" w:firstLineChars="0"/>
      </w:pPr>
      <w:r>
        <w:rPr>
          <w:rFonts w:hint="eastAsia"/>
        </w:rPr>
        <w:t>5.1.3  钢渣混凝土的最大水胶比不宜超过0.6。</w:t>
      </w:r>
    </w:p>
    <w:p>
      <w:pPr>
        <w:ind w:firstLine="0" w:firstLineChars="0"/>
      </w:pPr>
      <w:r>
        <w:rPr>
          <w:rFonts w:hint="eastAsia"/>
        </w:rPr>
        <w:t>5</w:t>
      </w:r>
      <w:r>
        <w:t>.</w:t>
      </w:r>
      <w:r>
        <w:rPr>
          <w:rFonts w:hint="eastAsia"/>
        </w:rPr>
        <w:t>1</w:t>
      </w:r>
      <w:r>
        <w:t xml:space="preserve">.4  </w:t>
      </w:r>
      <w:r>
        <w:rPr>
          <w:rFonts w:hint="eastAsia"/>
        </w:rPr>
        <w:t>钢渣混凝土拌合用水和养护用水宜符合现行行业标准《混凝土用水标准》JGJ 63的规定，且拌合用水和养护用水性能宜按现行行业标准《混凝土用水标准》JGJ 63规定的试验方法进行测定。</w:t>
      </w:r>
    </w:p>
    <w:p>
      <w:pPr>
        <w:pStyle w:val="3"/>
      </w:pPr>
      <w:bookmarkStart w:id="79" w:name="_Toc213773535"/>
      <w:r>
        <w:rPr>
          <w:rFonts w:hint="eastAsia"/>
        </w:rPr>
        <w:t>5.2  拌合物性能</w:t>
      </w:r>
      <w:bookmarkEnd w:id="72"/>
      <w:bookmarkEnd w:id="73"/>
      <w:bookmarkEnd w:id="74"/>
      <w:bookmarkEnd w:id="76"/>
      <w:bookmarkEnd w:id="77"/>
      <w:bookmarkEnd w:id="78"/>
      <w:bookmarkEnd w:id="79"/>
    </w:p>
    <w:p>
      <w:pPr>
        <w:ind w:firstLine="0" w:firstLineChars="0"/>
      </w:pPr>
      <w:r>
        <w:rPr>
          <w:rFonts w:hint="eastAsia"/>
        </w:rPr>
        <w:t>5.2.1  钢渣混凝土拌合物具有良好黏聚性、保水性和流动性，不得离析、泌水。</w:t>
      </w:r>
    </w:p>
    <w:p>
      <w:pPr>
        <w:ind w:firstLine="0" w:firstLineChars="0"/>
        <w:rPr>
          <w:bCs/>
        </w:rPr>
      </w:pPr>
      <w:r>
        <w:rPr>
          <w:rFonts w:hint="eastAsia"/>
        </w:rPr>
        <w:t>5.2.2  钢渣混凝土拌合物工作性能宜满足工程设计和施工要求，拌合物性能宜按现行国家标准《普通混凝土拌合物性能试验方法标准》GB/T50080规定的试</w:t>
      </w:r>
      <w:r>
        <w:rPr>
          <w:rFonts w:hint="eastAsia"/>
          <w:bCs/>
        </w:rPr>
        <w:t>验方法进行测定。</w:t>
      </w:r>
    </w:p>
    <w:p>
      <w:pPr>
        <w:ind w:firstLine="0" w:firstLineChars="0"/>
      </w:pPr>
      <w:r>
        <w:rPr>
          <w:rFonts w:hint="eastAsia"/>
        </w:rPr>
        <w:t>5.2.3  钢渣混凝土拌合物的初凝时间不宜小于2 h。</w:t>
      </w:r>
    </w:p>
    <w:p>
      <w:pPr>
        <w:ind w:firstLine="0" w:firstLineChars="0"/>
        <w:rPr>
          <w:bCs/>
        </w:rPr>
      </w:pPr>
      <w:r>
        <w:rPr>
          <w:rFonts w:hint="eastAsia"/>
        </w:rPr>
        <w:t>5</w:t>
      </w:r>
      <w:r>
        <w:t>.</w:t>
      </w:r>
      <w:r>
        <w:rPr>
          <w:rFonts w:hint="eastAsia"/>
        </w:rPr>
        <w:t>2</w:t>
      </w:r>
      <w:r>
        <w:t>.4</w:t>
      </w:r>
      <w:r>
        <w:rPr>
          <w:bCs/>
        </w:rPr>
        <w:t xml:space="preserve">  </w:t>
      </w:r>
      <w:r>
        <w:rPr>
          <w:rFonts w:hint="eastAsia"/>
          <w:bCs/>
        </w:rPr>
        <w:t>钢渣混凝土拌合物的水溶性氯离子含量宜按现行行业标准《混凝土中氯离子含量检测技术规程》</w:t>
      </w:r>
      <w:r>
        <w:rPr>
          <w:bCs/>
        </w:rPr>
        <w:t>JGI/T322</w:t>
      </w:r>
      <w:r>
        <w:rPr>
          <w:rFonts w:hint="eastAsia"/>
          <w:bCs/>
        </w:rPr>
        <w:t>规定的快速测定方法进行测定，钢渣混凝土拌合物的水溶性氯离子最大含量不宜大于</w:t>
      </w:r>
      <w:r>
        <w:rPr>
          <w:bCs/>
        </w:rPr>
        <w:t>1.5%</w:t>
      </w:r>
      <w:r>
        <w:rPr>
          <w:rFonts w:hint="eastAsia"/>
          <w:bCs/>
        </w:rPr>
        <w:t>。</w:t>
      </w:r>
    </w:p>
    <w:p>
      <w:pPr>
        <w:pStyle w:val="3"/>
      </w:pPr>
      <w:bookmarkStart w:id="80" w:name="_Toc213257650"/>
      <w:bookmarkStart w:id="81" w:name="_Toc212480156"/>
      <w:bookmarkStart w:id="82" w:name="_Toc213690065"/>
      <w:bookmarkStart w:id="83" w:name="_Toc213773536"/>
      <w:bookmarkStart w:id="84" w:name="_Toc213663134"/>
      <w:bookmarkStart w:id="85" w:name="_Toc213271640"/>
      <w:bookmarkStart w:id="86" w:name="_Toc213662940"/>
      <w:r>
        <w:rPr>
          <w:rFonts w:hint="eastAsia"/>
        </w:rPr>
        <w:t>5.3  力学性能</w:t>
      </w:r>
      <w:bookmarkEnd w:id="80"/>
      <w:bookmarkEnd w:id="81"/>
      <w:bookmarkEnd w:id="82"/>
      <w:bookmarkEnd w:id="83"/>
      <w:bookmarkEnd w:id="84"/>
      <w:bookmarkEnd w:id="85"/>
      <w:bookmarkEnd w:id="86"/>
    </w:p>
    <w:p>
      <w:pPr>
        <w:ind w:firstLine="0" w:firstLineChars="0"/>
      </w:pPr>
      <w:r>
        <w:rPr>
          <w:rFonts w:hint="eastAsia"/>
        </w:rPr>
        <w:t>5.3.1  钢渣混凝土的力学性能应满足设计要求，试验方法应符合现行国家标准《普通混凝土力学性能试验方法标准》GB/T 50081的规定。</w:t>
      </w:r>
    </w:p>
    <w:p>
      <w:pPr>
        <w:ind w:firstLine="0" w:firstLineChars="0"/>
      </w:pPr>
      <w:r>
        <w:rPr>
          <w:rFonts w:hint="eastAsia"/>
        </w:rPr>
        <w:t>5.3.2  钢渣混凝土强度等级应按立方体抗压强度标准值确定并应按现行国家标准《混凝土强度检验评定标准》GB/T 50107的规定进行评定。</w:t>
      </w:r>
    </w:p>
    <w:p>
      <w:pPr>
        <w:ind w:firstLine="0" w:firstLineChars="0"/>
      </w:pPr>
      <w:r>
        <w:rPr>
          <w:rFonts w:hint="eastAsia"/>
        </w:rPr>
        <w:t>5.3.3  钢渣混凝土的强度标准值、强度设计值、弹性模量、轴心抗压强度、轴心抗拉疲劳强度设计值、疲劳强度变形模量等应符合现行国家标准《混凝土结构设计规范》GB 50010的规定。</w:t>
      </w:r>
    </w:p>
    <w:p>
      <w:pPr>
        <w:pStyle w:val="3"/>
      </w:pPr>
      <w:bookmarkStart w:id="87" w:name="_Toc213271642"/>
      <w:bookmarkStart w:id="88" w:name="_Toc213257652"/>
      <w:bookmarkStart w:id="89" w:name="_Toc213773537"/>
      <w:bookmarkStart w:id="90" w:name="_Toc212480158"/>
      <w:bookmarkStart w:id="91" w:name="_Toc213662942"/>
      <w:bookmarkStart w:id="92" w:name="_Toc213663136"/>
      <w:bookmarkStart w:id="93" w:name="_Toc213690067"/>
      <w:r>
        <w:rPr>
          <w:rFonts w:hint="eastAsia"/>
        </w:rPr>
        <w:t>5.4  钢渣混凝土配制强度的确定</w:t>
      </w:r>
      <w:bookmarkEnd w:id="87"/>
      <w:bookmarkEnd w:id="88"/>
      <w:bookmarkEnd w:id="89"/>
      <w:bookmarkEnd w:id="90"/>
      <w:bookmarkEnd w:id="91"/>
      <w:bookmarkEnd w:id="92"/>
      <w:bookmarkEnd w:id="93"/>
    </w:p>
    <w:p>
      <w:pPr>
        <w:ind w:firstLine="0" w:firstLineChars="0"/>
      </w:pPr>
      <w:r>
        <w:rPr>
          <w:rFonts w:hint="eastAsia"/>
        </w:rPr>
        <w:t>5.4.1  钢渣混凝土的配置强度应按下式确定：</w:t>
      </w:r>
    </w:p>
    <w:tbl>
      <w:tblPr>
        <w:tblStyle w:val="24"/>
        <w:tblW w:w="0" w:type="auto"/>
        <w:jc w:val="right"/>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765"/>
        <w:gridCol w:w="2766"/>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rPr>
          <w:jc w:val="right"/>
        </w:trPr>
        <w:tc>
          <w:tcPr>
            <w:tcW w:w="2765" w:type="dxa"/>
            <w:vAlign w:val="center"/>
          </w:tcPr>
          <w:p>
            <w:pPr>
              <w:spacing w:line="240" w:lineRule="auto"/>
              <w:ind w:firstLine="0" w:firstLineChars="0"/>
              <w:jc w:val="center"/>
            </w:pPr>
            <w:r>
              <w:rPr>
                <w:position w:val="-11"/>
                <w:vertAlign w:val="subscript"/>
              </w:rPr>
              <w:object>
                <v:shape id="_x0000_i1025" o:spt="75" type="#_x0000_t75" style="height:17.5pt;width:110.5pt;" o:ole="t" filled="f" o:preferrelative="t" stroked="f" coordsize="21600,21600">
                  <v:path/>
                  <v:fill on="f" focussize="0,0"/>
                  <v:stroke on="f" joinstyle="miter"/>
                  <v:imagedata r:id="rId28" o:title=""/>
                  <o:lock v:ext="edit" aspectratio="t"/>
                  <w10:wrap type="none"/>
                  <w10:anchorlock/>
                </v:shape>
                <o:OLEObject Type="Embed" ProgID="Equation.AxMath" ShapeID="_x0000_i1025" DrawAspect="Content" ObjectID="_1468075725" r:id="rId27">
                  <o:LockedField>false</o:LockedField>
                </o:OLEObject>
              </w:object>
            </w:r>
          </w:p>
        </w:tc>
        <w:tc>
          <w:tcPr>
            <w:tcW w:w="2766" w:type="dxa"/>
            <w:vAlign w:val="center"/>
          </w:tcPr>
          <w:p>
            <w:pPr>
              <w:spacing w:line="240" w:lineRule="auto"/>
              <w:ind w:firstLine="0" w:firstLineChars="0"/>
              <w:jc w:val="right"/>
            </w:pPr>
            <w:r>
              <w:rPr>
                <w:rFonts w:hint="eastAsia"/>
              </w:rPr>
              <w:t>（5.4.1）</w:t>
            </w:r>
          </w:p>
        </w:tc>
      </w:tr>
    </w:tbl>
    <w:p>
      <w:pPr>
        <w:ind w:firstLine="0" w:firstLineChars="0"/>
      </w:pPr>
      <w:r>
        <w:rPr>
          <w:rFonts w:hint="eastAsia"/>
        </w:rPr>
        <w:t>式中：</w:t>
      </w:r>
      <w:r>
        <w:rPr>
          <w:position w:val="-12"/>
          <w:vertAlign w:val="subscript"/>
        </w:rPr>
        <w:object>
          <v:shape id="_x0000_i1026" o:spt="75" type="#_x0000_t75" style="height:17.5pt;width:23pt;" o:ole="t" filled="f" o:preferrelative="t" stroked="f" coordsize="21600,21600">
            <v:path/>
            <v:fill on="f" focussize="0,0"/>
            <v:stroke on="f" joinstyle="miter"/>
            <v:imagedata r:id="rId30" o:title=""/>
            <o:lock v:ext="edit" aspectratio="t"/>
            <w10:wrap type="none"/>
            <w10:anchorlock/>
          </v:shape>
          <o:OLEObject Type="Embed" ProgID="Equation.AxMath" ShapeID="_x0000_i1026" DrawAspect="Content" ObjectID="_1468075726" r:id="rId29">
            <o:LockedField>false</o:LockedField>
          </o:OLEObject>
        </w:object>
      </w:r>
      <w:r>
        <w:rPr>
          <w:rFonts w:hint="eastAsia"/>
        </w:rPr>
        <w:t>——混凝土级配强度(MPa)；</w:t>
      </w:r>
    </w:p>
    <w:p>
      <w:pPr>
        <w:ind w:firstLine="720" w:firstLineChars="300"/>
      </w:pPr>
      <w:r>
        <w:rPr>
          <w:position w:val="-12"/>
          <w:vertAlign w:val="subscript"/>
        </w:rPr>
        <w:object>
          <v:shape id="_x0000_i1027" o:spt="75" type="#_x0000_t75" style="height:17.5pt;width:21.5pt;" o:ole="t" filled="f" o:preferrelative="t" stroked="f" coordsize="21600,21600">
            <v:path/>
            <v:fill on="f" focussize="0,0"/>
            <v:stroke on="f" joinstyle="miter"/>
            <v:imagedata r:id="rId32" o:title=""/>
            <o:lock v:ext="edit" aspectratio="t"/>
            <w10:wrap type="none"/>
            <w10:anchorlock/>
          </v:shape>
          <o:OLEObject Type="Embed" ProgID="Equation.AxMath" ShapeID="_x0000_i1027" DrawAspect="Content" ObjectID="_1468075727" r:id="rId31">
            <o:LockedField>false</o:LockedField>
          </o:OLEObject>
        </w:object>
      </w:r>
      <w:r>
        <w:rPr>
          <w:rFonts w:hint="eastAsia"/>
        </w:rPr>
        <w:t>——混凝土立方体抗压强度标准值，取混凝土的设计</w:t>
      </w:r>
      <w:r>
        <w:rPr>
          <w:position w:val="-12"/>
          <w:vertAlign w:val="subscript"/>
        </w:rPr>
        <w:object>
          <v:shape id="_x0000_i1028" o:spt="75" type="#_x0000_t75" style="height:17.5pt;width:21.5pt;" o:ole="t" filled="f" o:preferrelative="t" stroked="f" coordsize="21600,21600">
            <v:path/>
            <v:fill on="f" focussize="0,0"/>
            <v:stroke on="f" joinstyle="miter"/>
            <v:imagedata r:id="rId32" o:title=""/>
            <o:lock v:ext="edit" aspectratio="t"/>
            <w10:wrap type="none"/>
            <w10:anchorlock/>
          </v:shape>
          <o:OLEObject Type="Embed" ProgID="Equation.AxMath" ShapeID="_x0000_i1028" DrawAspect="Content" ObjectID="_1468075728" r:id="rId33">
            <o:LockedField>false</o:LockedField>
          </o:OLEObject>
        </w:object>
      </w:r>
      <w:r>
        <w:rPr>
          <w:rFonts w:hint="eastAsia"/>
        </w:rPr>
        <w:t>强度等级值(MPa)；</w:t>
      </w:r>
    </w:p>
    <w:p>
      <w:pPr>
        <w:ind w:firstLine="720" w:firstLineChars="300"/>
      </w:pPr>
      <w:r>
        <w:rPr>
          <w:position w:val="-12"/>
        </w:rPr>
        <w:object>
          <v:shape id="_x0000_i1029" o:spt="75" type="#_x0000_t75" style="height:16pt;width:10.5pt;" o:ole="t" filled="f" o:preferrelative="t" stroked="f" coordsize="21600,21600">
            <v:path/>
            <v:fill on="f" focussize="0,0"/>
            <v:stroke on="f" joinstyle="miter"/>
            <v:imagedata r:id="rId35" o:title=""/>
            <o:lock v:ext="edit" aspectratio="t"/>
            <w10:wrap type="none"/>
            <w10:anchorlock/>
          </v:shape>
          <o:OLEObject Type="Embed" ProgID="Equation.AxMath" ShapeID="_x0000_i1029" DrawAspect="Content" ObjectID="_1468075729" r:id="rId34">
            <o:LockedField>false</o:LockedField>
          </o:OLEObject>
        </w:object>
      </w:r>
      <w:r>
        <w:rPr>
          <w:rFonts w:hint="eastAsia"/>
        </w:rPr>
        <w:t>——混凝土强度标准差(MPa)。</w:t>
      </w:r>
    </w:p>
    <w:p>
      <w:pPr>
        <w:ind w:firstLine="0" w:firstLineChars="0"/>
      </w:pPr>
      <w:r>
        <w:rPr>
          <w:rFonts w:hint="eastAsia"/>
        </w:rPr>
        <w:t>5.4.2  钢渣混凝土强度标准差应按下列规定确定：</w:t>
      </w:r>
    </w:p>
    <w:p>
      <w:pPr>
        <w:ind w:firstLine="480"/>
      </w:pPr>
      <w:r>
        <w:rPr>
          <w:rFonts w:hint="eastAsia"/>
        </w:rPr>
        <w:t>1  当具有近1个月~3个月的同一品种、同一强度等级混凝土的强度资料，且试件组数不少于30组时，其混凝土强度标准差</w:t>
      </w:r>
      <w:r>
        <w:rPr>
          <w:position w:val="-12"/>
        </w:rPr>
        <w:object>
          <v:shape id="_x0000_i1030" o:spt="75" type="#_x0000_t75" style="height:16pt;width:10.5pt;" o:ole="t" filled="f" o:preferrelative="t" stroked="f" coordsize="21600,21600">
            <v:path/>
            <v:fill on="f" focussize="0,0"/>
            <v:stroke on="f" joinstyle="miter"/>
            <v:imagedata r:id="rId35" o:title=""/>
            <o:lock v:ext="edit" aspectratio="t"/>
            <w10:wrap type="none"/>
            <w10:anchorlock/>
          </v:shape>
          <o:OLEObject Type="Embed" ProgID="Equation.AxMath" ShapeID="_x0000_i1030" DrawAspect="Content" ObjectID="_1468075730" r:id="rId36">
            <o:LockedField>false</o:LockedField>
          </o:OLEObject>
        </w:object>
      </w:r>
      <w:r>
        <w:rPr>
          <w:rFonts w:hint="eastAsia"/>
        </w:rPr>
        <w:t>应按下式计算：</w:t>
      </w:r>
    </w:p>
    <w:tbl>
      <w:tblPr>
        <w:tblStyle w:val="24"/>
        <w:tblW w:w="0" w:type="auto"/>
        <w:jc w:val="right"/>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765"/>
        <w:gridCol w:w="2766"/>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rPr>
          <w:jc w:val="right"/>
        </w:trPr>
        <w:tc>
          <w:tcPr>
            <w:tcW w:w="2765" w:type="dxa"/>
            <w:vAlign w:val="center"/>
          </w:tcPr>
          <w:p>
            <w:pPr>
              <w:spacing w:line="240" w:lineRule="auto"/>
              <w:ind w:firstLine="0" w:firstLineChars="0"/>
              <w:jc w:val="center"/>
            </w:pPr>
            <w:r>
              <w:rPr>
                <w:position w:val="-26"/>
              </w:rPr>
              <w:object>
                <v:shape id="_x0000_i1031" o:spt="75" type="#_x0000_t75" style="height:49.5pt;width:120pt;" o:ole="t" filled="f" o:preferrelative="t" stroked="f" coordsize="21600,21600">
                  <v:path/>
                  <v:fill on="f" focussize="0,0"/>
                  <v:stroke on="f" joinstyle="miter"/>
                  <v:imagedata r:id="rId38" o:title=""/>
                  <o:lock v:ext="edit" aspectratio="t"/>
                  <w10:wrap type="none"/>
                  <w10:anchorlock/>
                </v:shape>
                <o:OLEObject Type="Embed" ProgID="Equation.AxMath" ShapeID="_x0000_i1031" DrawAspect="Content" ObjectID="_1468075731" r:id="rId37">
                  <o:LockedField>false</o:LockedField>
                </o:OLEObject>
              </w:object>
            </w:r>
          </w:p>
        </w:tc>
        <w:tc>
          <w:tcPr>
            <w:tcW w:w="2766" w:type="dxa"/>
            <w:vAlign w:val="center"/>
          </w:tcPr>
          <w:p>
            <w:pPr>
              <w:spacing w:line="240" w:lineRule="auto"/>
              <w:ind w:firstLine="0" w:firstLineChars="0"/>
              <w:jc w:val="right"/>
            </w:pPr>
            <w:r>
              <w:rPr>
                <w:rFonts w:hint="eastAsia"/>
              </w:rPr>
              <w:t>（5.4.2）</w:t>
            </w:r>
          </w:p>
        </w:tc>
      </w:tr>
    </w:tbl>
    <w:p>
      <w:pPr>
        <w:ind w:firstLine="0" w:firstLineChars="0"/>
      </w:pPr>
      <w:r>
        <w:rPr>
          <w:rFonts w:hint="eastAsia"/>
        </w:rPr>
        <w:t>式中：</w:t>
      </w:r>
      <w:r>
        <w:rPr>
          <w:position w:val="-12"/>
        </w:rPr>
        <w:object>
          <v:shape id="_x0000_i1032" o:spt="75" type="#_x0000_t75" style="height:16pt;width:10.5pt;" o:ole="t" filled="f" o:preferrelative="t" stroked="f" coordsize="21600,21600">
            <v:path/>
            <v:fill on="f" focussize="0,0"/>
            <v:stroke on="f" joinstyle="miter"/>
            <v:imagedata r:id="rId35" o:title=""/>
            <o:lock v:ext="edit" aspectratio="t"/>
            <w10:wrap type="none"/>
            <w10:anchorlock/>
          </v:shape>
          <o:OLEObject Type="Embed" ProgID="Equation.AxMath" ShapeID="_x0000_i1032" DrawAspect="Content" ObjectID="_1468075732" r:id="rId39">
            <o:LockedField>false</o:LockedField>
          </o:OLEObject>
        </w:object>
      </w:r>
      <w:r>
        <w:rPr>
          <w:rFonts w:hint="eastAsia"/>
        </w:rPr>
        <w:t>——混凝土强度标准差(MPa)；</w:t>
      </w:r>
    </w:p>
    <w:p>
      <w:pPr>
        <w:ind w:firstLine="720" w:firstLineChars="300"/>
      </w:pPr>
      <w:r>
        <w:rPr>
          <w:position w:val="-12"/>
          <w:vertAlign w:val="subscript"/>
        </w:rPr>
        <w:object>
          <v:shape id="_x0000_i1033" o:spt="75" type="#_x0000_t75" style="height:17.5pt;width:19.5pt;" o:ole="t" filled="f" o:preferrelative="t" stroked="f" coordsize="21600,21600">
            <v:path/>
            <v:fill on="f" focussize="0,0"/>
            <v:stroke on="f" joinstyle="miter"/>
            <v:imagedata r:id="rId41" o:title=""/>
            <o:lock v:ext="edit" aspectratio="t"/>
            <w10:wrap type="none"/>
            <w10:anchorlock/>
          </v:shape>
          <o:OLEObject Type="Embed" ProgID="Equation.AxMath" ShapeID="_x0000_i1033" DrawAspect="Content" ObjectID="_1468075733" r:id="rId40">
            <o:LockedField>false</o:LockedField>
          </o:OLEObject>
        </w:object>
      </w:r>
      <w:r>
        <w:rPr>
          <w:rFonts w:hint="eastAsia"/>
        </w:rPr>
        <w:t>——第i组试件的抗压强度代表值(MPa)；</w:t>
      </w:r>
    </w:p>
    <w:p>
      <w:pPr>
        <w:ind w:firstLine="720" w:firstLineChars="300"/>
      </w:pPr>
      <w:r>
        <w:rPr>
          <w:position w:val="-12"/>
          <w:vertAlign w:val="subscript"/>
        </w:rPr>
        <w:object>
          <v:shape id="_x0000_i1034" o:spt="75" type="#_x0000_t75" style="height:17.5pt;width:26pt;" o:ole="t" filled="f" o:preferrelative="t" stroked="f" coordsize="21600,21600">
            <v:path/>
            <v:fill on="f" focussize="0,0"/>
            <v:stroke on="f" joinstyle="miter"/>
            <v:imagedata r:id="rId43" o:title=""/>
            <o:lock v:ext="edit" aspectratio="t"/>
            <w10:wrap type="none"/>
            <w10:anchorlock/>
          </v:shape>
          <o:OLEObject Type="Embed" ProgID="Equation.AxMath" ShapeID="_x0000_i1034" DrawAspect="Content" ObjectID="_1468075734" r:id="rId42">
            <o:LockedField>false</o:LockedField>
          </o:OLEObject>
        </w:object>
      </w:r>
      <w:r>
        <w:rPr>
          <w:rFonts w:hint="eastAsia"/>
        </w:rPr>
        <w:t>——</w:t>
      </w:r>
      <w:r>
        <w:rPr>
          <w:position w:val="-12"/>
        </w:rPr>
        <w:object>
          <v:shape id="_x0000_i1035" o:spt="75" type="#_x0000_t75" style="height:16pt;width:10.5pt;" o:ole="t" filled="f" o:preferrelative="t" stroked="f" coordsize="21600,21600">
            <v:path/>
            <v:fill on="f" focussize="0,0"/>
            <v:stroke on="f" joinstyle="miter"/>
            <v:imagedata r:id="rId45" o:title=""/>
            <o:lock v:ext="edit" aspectratio="t"/>
            <w10:wrap type="none"/>
            <w10:anchorlock/>
          </v:shape>
          <o:OLEObject Type="Embed" ProgID="Equation.AxMath" ShapeID="_x0000_i1035" DrawAspect="Content" ObjectID="_1468075735" r:id="rId44">
            <o:LockedField>false</o:LockedField>
          </o:OLEObject>
        </w:object>
      </w:r>
      <w:r>
        <w:rPr>
          <w:rFonts w:hint="eastAsia"/>
        </w:rPr>
        <w:t>组试件抗压强度的平均值(MPa)；</w:t>
      </w:r>
    </w:p>
    <w:p>
      <w:pPr>
        <w:ind w:firstLine="720" w:firstLineChars="300"/>
      </w:pPr>
      <w:r>
        <w:rPr>
          <w:position w:val="-12"/>
        </w:rPr>
        <w:object>
          <v:shape id="_x0000_i1036" o:spt="75" type="#_x0000_t75" style="height:16pt;width:10.5pt;" o:ole="t" filled="f" o:preferrelative="t" stroked="f" coordsize="21600,21600">
            <v:path/>
            <v:fill on="f" focussize="0,0"/>
            <v:stroke on="f" joinstyle="miter"/>
            <v:imagedata r:id="rId45" o:title=""/>
            <o:lock v:ext="edit" aspectratio="t"/>
            <w10:wrap type="none"/>
            <w10:anchorlock/>
          </v:shape>
          <o:OLEObject Type="Embed" ProgID="Equation.AxMath" ShapeID="_x0000_i1036" DrawAspect="Content" ObjectID="_1468075736" r:id="rId46">
            <o:LockedField>false</o:LockedField>
          </o:OLEObject>
        </w:object>
      </w:r>
      <w:r>
        <w:rPr>
          <w:rFonts w:hint="eastAsia"/>
        </w:rPr>
        <w:t>——试件组数。</w:t>
      </w:r>
    </w:p>
    <w:p>
      <w:pPr>
        <w:ind w:firstLine="480"/>
      </w:pPr>
      <w:r>
        <w:rPr>
          <w:rFonts w:hint="eastAsia"/>
        </w:rPr>
        <w:t>当钢渣混凝土强度标准差计算值不小于4.0 MPa时，应按上述标准式的计算结果取值；当混凝土强度标准差计算值小于4.0 MPa时，应取4.0 MPa。</w:t>
      </w:r>
    </w:p>
    <w:p>
      <w:pPr>
        <w:ind w:firstLine="480"/>
      </w:pPr>
      <w:r>
        <w:rPr>
          <w:rFonts w:hint="eastAsia"/>
        </w:rPr>
        <w:t>2  当没有近期同一品种、同一强度等级混凝土强度资料时，</w:t>
      </w:r>
      <w:r>
        <w:rPr>
          <w:position w:val="-12"/>
        </w:rPr>
        <w:object>
          <v:shape id="_x0000_i1037" o:spt="75" type="#_x0000_t75" style="height:16pt;width:10.5pt;" o:ole="t" filled="f" o:preferrelative="t" stroked="f" coordsize="21600,21600">
            <v:path/>
            <v:fill on="f" focussize="0,0"/>
            <v:stroke on="f" joinstyle="miter"/>
            <v:imagedata r:id="rId35" o:title=""/>
            <o:lock v:ext="edit" aspectratio="t"/>
            <w10:wrap type="none"/>
            <w10:anchorlock/>
          </v:shape>
          <o:OLEObject Type="Embed" ProgID="Equation.AxMath" ShapeID="_x0000_i1037" DrawAspect="Content" ObjectID="_1468075737" r:id="rId47">
            <o:LockedField>false</o:LockedField>
          </o:OLEObject>
        </w:object>
      </w:r>
      <w:r>
        <w:rPr>
          <w:rFonts w:hint="eastAsia"/>
        </w:rPr>
        <w:t>可按5.0取值。</w:t>
      </w:r>
    </w:p>
    <w:p>
      <w:pPr>
        <w:ind w:firstLine="0" w:firstLineChars="0"/>
      </w:pPr>
      <w:r>
        <w:rPr>
          <w:rFonts w:hint="eastAsia"/>
        </w:rPr>
        <w:t>5.4.</w:t>
      </w:r>
      <w:r>
        <w:t>3</w:t>
      </w:r>
      <w:r>
        <w:rPr>
          <w:rFonts w:hint="eastAsia"/>
        </w:rPr>
        <w:t xml:space="preserve">  对于钢渣混凝土，水胶比宜按下式计算：</w:t>
      </w:r>
    </w:p>
    <w:tbl>
      <w:tblPr>
        <w:tblStyle w:val="24"/>
        <w:tblW w:w="0" w:type="auto"/>
        <w:jc w:val="right"/>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765"/>
        <w:gridCol w:w="2766"/>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rPr>
          <w:jc w:val="right"/>
        </w:trPr>
        <w:tc>
          <w:tcPr>
            <w:tcW w:w="2765" w:type="dxa"/>
            <w:vAlign w:val="center"/>
          </w:tcPr>
          <w:p>
            <w:pPr>
              <w:spacing w:line="240" w:lineRule="auto"/>
              <w:ind w:firstLine="0" w:firstLineChars="0"/>
              <w:jc w:val="center"/>
            </w:pPr>
            <w:r>
              <w:rPr>
                <w:position w:val="-25"/>
              </w:rPr>
              <w:object>
                <v:shape id="_x0000_i1038" o:spt="75" type="#_x0000_t75" style="height:31pt;width:109pt;" o:ole="t" filled="f" o:preferrelative="t" stroked="f" coordsize="21600,21600">
                  <v:path/>
                  <v:fill on="f" focussize="0,0"/>
                  <v:stroke on="f" joinstyle="miter"/>
                  <v:imagedata r:id="rId49" o:title=""/>
                  <o:lock v:ext="edit" aspectratio="t"/>
                  <w10:wrap type="none"/>
                  <w10:anchorlock/>
                </v:shape>
                <o:OLEObject Type="Embed" ProgID="Equation.AxMath" ShapeID="_x0000_i1038" DrawAspect="Content" ObjectID="_1468075738" r:id="rId48">
                  <o:LockedField>false</o:LockedField>
                </o:OLEObject>
              </w:object>
            </w:r>
          </w:p>
        </w:tc>
        <w:tc>
          <w:tcPr>
            <w:tcW w:w="2766" w:type="dxa"/>
            <w:vAlign w:val="center"/>
          </w:tcPr>
          <w:p>
            <w:pPr>
              <w:spacing w:line="240" w:lineRule="auto"/>
              <w:ind w:firstLine="0" w:firstLineChars="0"/>
              <w:jc w:val="right"/>
            </w:pPr>
            <w:r>
              <w:rPr>
                <w:rFonts w:hint="eastAsia"/>
              </w:rPr>
              <w:t>（5.4.3）</w:t>
            </w:r>
          </w:p>
        </w:tc>
      </w:tr>
    </w:tbl>
    <w:p>
      <w:pPr>
        <w:ind w:firstLine="0" w:firstLineChars="0"/>
      </w:pPr>
      <w:r>
        <w:rPr>
          <w:rFonts w:hint="eastAsia"/>
        </w:rPr>
        <w:t>式中：W/B——混凝土水胶比；</w:t>
      </w:r>
    </w:p>
    <w:p>
      <w:pPr>
        <w:ind w:firstLine="720" w:firstLineChars="300"/>
      </w:pPr>
      <w:r>
        <w:rPr>
          <w:position w:val="-12"/>
        </w:rPr>
        <w:object>
          <v:shape id="_x0000_i1039" o:spt="75" type="#_x0000_t75" style="height:17.5pt;width:14.5pt;" o:ole="t" filled="f" o:preferrelative="t" stroked="f" coordsize="21600,21600">
            <v:path/>
            <v:fill on="f" focussize="0,0"/>
            <v:stroke on="f" joinstyle="miter"/>
            <v:imagedata r:id="rId51" o:title=""/>
            <o:lock v:ext="edit" aspectratio="t"/>
            <w10:wrap type="none"/>
            <w10:anchorlock/>
          </v:shape>
          <o:OLEObject Type="Embed" ProgID="Equation.AxMath" ShapeID="_x0000_i1039" DrawAspect="Content" ObjectID="_1468075739" r:id="rId50">
            <o:LockedField>false</o:LockedField>
          </o:OLEObject>
        </w:object>
      </w:r>
      <w:r>
        <w:rPr>
          <w:rFonts w:hint="eastAsia"/>
        </w:rPr>
        <w:t>，</w:t>
      </w:r>
      <w:r>
        <w:rPr>
          <w:position w:val="-11"/>
        </w:rPr>
        <w:object>
          <v:shape id="_x0000_i1040" o:spt="75" type="#_x0000_t75" style="height:17.5pt;width:14pt;" o:ole="t" filled="f" o:preferrelative="t" stroked="f" coordsize="21600,21600">
            <v:path/>
            <v:fill on="f" focussize="0,0"/>
            <v:stroke on="f" joinstyle="miter"/>
            <v:imagedata r:id="rId53" o:title=""/>
            <o:lock v:ext="edit" aspectratio="t"/>
            <w10:wrap type="none"/>
            <w10:anchorlock/>
          </v:shape>
          <o:OLEObject Type="Embed" ProgID="Equation.AxMath" ShapeID="_x0000_i1040" DrawAspect="Content" ObjectID="_1468075740" r:id="rId52">
            <o:LockedField>false</o:LockedField>
          </o:OLEObject>
        </w:object>
      </w:r>
      <w:r>
        <w:rPr>
          <w:rFonts w:hint="eastAsia"/>
        </w:rPr>
        <w:t>——回归系数，分别取0.796和0.897；</w:t>
      </w:r>
    </w:p>
    <w:p>
      <w:pPr>
        <w:ind w:firstLine="720" w:firstLineChars="300"/>
      </w:pPr>
      <w:r>
        <w:rPr>
          <w:position w:val="-11"/>
        </w:rPr>
        <w:object>
          <v:shape id="_x0000_i1041" o:spt="75" type="#_x0000_t75" style="height:17.5pt;width:11pt;" o:ole="t" filled="f" o:preferrelative="t" stroked="f" coordsize="21600,21600">
            <v:path/>
            <v:fill on="f" focussize="0,0"/>
            <v:stroke on="f" joinstyle="miter"/>
            <v:imagedata r:id="rId55" o:title=""/>
            <o:lock v:ext="edit" aspectratio="t"/>
            <w10:wrap type="none"/>
            <w10:anchorlock/>
          </v:shape>
          <o:OLEObject Type="Embed" ProgID="Equation.AxMath" ShapeID="_x0000_i1041" DrawAspect="Content" ObjectID="_1468075741" r:id="rId54">
            <o:LockedField>false</o:LockedField>
          </o:OLEObject>
        </w:object>
      </w:r>
      <w:r>
        <w:rPr>
          <w:rFonts w:hint="eastAsia"/>
        </w:rPr>
        <w:t>——胶凝材料28d抗压强度实测值(MPa)，且试验方法应按现行国家标准《水泥胶砂强度检验方法(ISO法)》GB/T 17671执行。</w:t>
      </w:r>
    </w:p>
    <w:p>
      <w:pPr>
        <w:ind w:firstLine="0" w:firstLineChars="0"/>
      </w:pPr>
      <w:r>
        <w:rPr>
          <w:rFonts w:hint="eastAsia"/>
        </w:rPr>
        <w:t>5.4.</w:t>
      </w:r>
      <w:r>
        <w:t>4</w:t>
      </w:r>
      <w:r>
        <w:rPr>
          <w:rFonts w:hint="eastAsia"/>
        </w:rPr>
        <w:t xml:space="preserve">  钢渣混凝土的用水量可按《普通混凝土配合比设计规范》JGJ 55中规定值选取。</w:t>
      </w:r>
    </w:p>
    <w:p>
      <w:pPr>
        <w:ind w:firstLine="0" w:firstLineChars="0"/>
        <w:rPr>
          <w:bCs/>
        </w:rPr>
      </w:pPr>
      <w:r>
        <w:rPr>
          <w:rFonts w:hint="eastAsia"/>
        </w:rPr>
        <w:t>5.4.</w:t>
      </w:r>
      <w:r>
        <w:t>5</w:t>
      </w:r>
      <w:r>
        <w:rPr>
          <w:rFonts w:hint="eastAsia"/>
          <w:bCs/>
        </w:rPr>
        <w:t xml:space="preserve">  钢渣混凝土其他配制参数的计算和取值宜按现行行业标准《普通混凝土配合比设计规程》JGJ 55的规定进行。</w:t>
      </w:r>
    </w:p>
    <w:p>
      <w:pPr>
        <w:pStyle w:val="3"/>
      </w:pPr>
      <w:bookmarkStart w:id="94" w:name="_Toc212480159"/>
      <w:bookmarkStart w:id="95" w:name="_Toc213271643"/>
      <w:bookmarkStart w:id="96" w:name="_Toc213773538"/>
      <w:bookmarkStart w:id="97" w:name="_Toc213663137"/>
      <w:bookmarkStart w:id="98" w:name="_Toc213690068"/>
      <w:bookmarkStart w:id="99" w:name="_Toc213257653"/>
      <w:bookmarkStart w:id="100" w:name="_Toc213662943"/>
      <w:r>
        <w:rPr>
          <w:rFonts w:hint="eastAsia"/>
        </w:rPr>
        <w:t>5.5  钢渣混凝土配合比调整与确定</w:t>
      </w:r>
      <w:bookmarkEnd w:id="94"/>
      <w:bookmarkEnd w:id="95"/>
      <w:bookmarkEnd w:id="96"/>
      <w:bookmarkEnd w:id="97"/>
      <w:bookmarkEnd w:id="98"/>
      <w:bookmarkEnd w:id="99"/>
      <w:bookmarkEnd w:id="100"/>
    </w:p>
    <w:p>
      <w:pPr>
        <w:ind w:firstLine="0" w:firstLineChars="0"/>
      </w:pPr>
      <w:r>
        <w:rPr>
          <w:rFonts w:hint="eastAsia"/>
        </w:rPr>
        <w:t>5.5.1  钢渣混凝土配合比调整与确定可按现行行业标准《普通混凝土配合比设计规程》JGJ 55的规定进行。</w:t>
      </w:r>
    </w:p>
    <w:p>
      <w:pPr>
        <w:ind w:firstLine="0" w:firstLineChars="0"/>
      </w:pPr>
      <w:r>
        <w:rPr>
          <w:rFonts w:hint="eastAsia"/>
        </w:rPr>
        <w:t>5.5.2  生产单位可根据使用材料设计常用的钢渣混凝土配合比备用，并宜在使用前予以验证或调整。遇下列情况之一时宜重新进行钢渣混凝土配合比设计：</w:t>
      </w:r>
    </w:p>
    <w:p>
      <w:pPr>
        <w:ind w:firstLine="480"/>
      </w:pPr>
      <w:r>
        <w:rPr>
          <w:rFonts w:hint="eastAsia"/>
        </w:rPr>
        <w:t>1  对钢渣混凝土性能有特殊要求时；</w:t>
      </w:r>
    </w:p>
    <w:p>
      <w:pPr>
        <w:ind w:firstLine="480"/>
      </w:pPr>
      <w:r>
        <w:rPr>
          <w:rFonts w:hint="eastAsia"/>
        </w:rPr>
        <w:t>2  胶凝材料、外加剂或矿物掺合料等原材料品种、质量有显著变化时。</w:t>
      </w:r>
    </w:p>
    <w:p>
      <w:pPr>
        <w:pStyle w:val="3"/>
      </w:pPr>
      <w:bookmarkStart w:id="101" w:name="_Toc213773539"/>
      <w:r>
        <w:rPr>
          <w:rFonts w:hint="eastAsia"/>
        </w:rPr>
        <w:t>5.</w:t>
      </w:r>
      <w:r>
        <w:t>6</w:t>
      </w:r>
      <w:r>
        <w:rPr>
          <w:rFonts w:hint="eastAsia"/>
        </w:rPr>
        <w:t xml:space="preserve">  耐久性</w:t>
      </w:r>
      <w:bookmarkEnd w:id="101"/>
    </w:p>
    <w:p>
      <w:pPr>
        <w:ind w:firstLine="0" w:firstLineChars="0"/>
      </w:pPr>
      <w:r>
        <w:rPr>
          <w:rFonts w:hint="eastAsia"/>
        </w:rPr>
        <w:t>5.6.1  对钢渣混凝土桩所处环境类别及作用等级做出了规定，</w:t>
      </w:r>
      <w:r>
        <w:rPr>
          <w:rFonts w:hint="eastAsia"/>
          <w:szCs w:val="24"/>
        </w:rPr>
        <w:t>见表</w:t>
      </w:r>
      <w:r>
        <w:rPr>
          <w:rFonts w:hint="eastAsia" w:eastAsia="黑体" w:cs="Times New Roman"/>
          <w:bCs/>
          <w:szCs w:val="24"/>
        </w:rPr>
        <w:t>5</w:t>
      </w:r>
      <w:r>
        <w:rPr>
          <w:rFonts w:eastAsia="黑体" w:cs="Times New Roman"/>
          <w:bCs/>
          <w:szCs w:val="24"/>
        </w:rPr>
        <w:t>.</w:t>
      </w:r>
      <w:r>
        <w:rPr>
          <w:rFonts w:hint="eastAsia" w:eastAsia="黑体" w:cs="Times New Roman"/>
          <w:bCs/>
          <w:szCs w:val="24"/>
        </w:rPr>
        <w:t>6</w:t>
      </w:r>
      <w:r>
        <w:rPr>
          <w:rFonts w:eastAsia="黑体" w:cs="Times New Roman"/>
          <w:bCs/>
          <w:szCs w:val="24"/>
        </w:rPr>
        <w:t>.</w:t>
      </w:r>
      <w:r>
        <w:rPr>
          <w:rFonts w:hint="eastAsia" w:eastAsia="黑体" w:cs="Times New Roman"/>
          <w:bCs/>
          <w:szCs w:val="24"/>
        </w:rPr>
        <w:t>2</w:t>
      </w:r>
      <w:r>
        <w:rPr>
          <w:rFonts w:eastAsia="黑体" w:cs="Times New Roman"/>
          <w:bCs/>
          <w:szCs w:val="24"/>
        </w:rPr>
        <w:t>-1</w:t>
      </w:r>
      <w:r>
        <w:rPr>
          <w:rFonts w:hint="eastAsia" w:ascii="宋体" w:hAnsi="宋体" w:cs="Times New Roman"/>
          <w:bCs/>
          <w:szCs w:val="24"/>
        </w:rPr>
        <w:t>及</w:t>
      </w:r>
      <w:r>
        <w:rPr>
          <w:rFonts w:hint="eastAsia" w:eastAsia="黑体" w:cs="Times New Roman"/>
          <w:bCs/>
          <w:szCs w:val="24"/>
        </w:rPr>
        <w:t>5</w:t>
      </w:r>
      <w:r>
        <w:rPr>
          <w:rFonts w:eastAsia="黑体" w:cs="Times New Roman"/>
          <w:bCs/>
          <w:szCs w:val="24"/>
        </w:rPr>
        <w:t>.</w:t>
      </w:r>
      <w:r>
        <w:rPr>
          <w:rFonts w:hint="eastAsia" w:eastAsia="黑体" w:cs="Times New Roman"/>
          <w:bCs/>
          <w:szCs w:val="24"/>
        </w:rPr>
        <w:t>6</w:t>
      </w:r>
      <w:r>
        <w:rPr>
          <w:rFonts w:eastAsia="黑体" w:cs="Times New Roman"/>
          <w:bCs/>
          <w:szCs w:val="24"/>
        </w:rPr>
        <w:t>.2</w:t>
      </w:r>
      <w:r>
        <w:rPr>
          <w:rFonts w:hint="eastAsia"/>
          <w:szCs w:val="24"/>
        </w:rPr>
        <w:t xml:space="preserve">  </w:t>
      </w:r>
      <w:r>
        <w:rPr>
          <w:rFonts w:hint="eastAsia"/>
        </w:rPr>
        <w:t>对于不同环境作用等级、设计使用年限的钢渣混凝土宜满足表中的最大水胶比和最小胶凝材料用量。</w:t>
      </w:r>
    </w:p>
    <w:p>
      <w:pPr>
        <w:pStyle w:val="11"/>
      </w:pPr>
      <w:r>
        <w:rPr>
          <w:rFonts w:hint="eastAsia"/>
        </w:rPr>
        <w:t>表5.6.2-1  钢渣混凝土桩的环境分类</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81"/>
        <w:gridCol w:w="4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81" w:type="dxa"/>
            <w:vAlign w:val="center"/>
          </w:tcPr>
          <w:p>
            <w:pPr>
              <w:pStyle w:val="49"/>
            </w:pPr>
            <w:r>
              <w:rPr>
                <w:rFonts w:hint="eastAsia"/>
              </w:rPr>
              <w:t>类别</w:t>
            </w:r>
          </w:p>
        </w:tc>
        <w:tc>
          <w:tcPr>
            <w:tcW w:w="4615" w:type="dxa"/>
            <w:vAlign w:val="center"/>
          </w:tcPr>
          <w:p>
            <w:pPr>
              <w:pStyle w:val="49"/>
            </w:pPr>
            <w:r>
              <w:rPr>
                <w:rFonts w:hint="eastAsia"/>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81" w:type="dxa"/>
            <w:vAlign w:val="center"/>
          </w:tcPr>
          <w:p>
            <w:pPr>
              <w:pStyle w:val="49"/>
            </w:pPr>
            <w:r>
              <w:rPr>
                <w:rFonts w:hint="eastAsia"/>
              </w:rPr>
              <w:t>Ⅰ</w:t>
            </w:r>
          </w:p>
        </w:tc>
        <w:tc>
          <w:tcPr>
            <w:tcW w:w="4615" w:type="dxa"/>
            <w:vAlign w:val="center"/>
          </w:tcPr>
          <w:p>
            <w:pPr>
              <w:pStyle w:val="49"/>
            </w:pPr>
            <w:r>
              <w:rPr>
                <w:rFonts w:hint="eastAsia"/>
              </w:rPr>
              <w:t>反复冻融引起混凝土冻蚀的环境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81" w:type="dxa"/>
            <w:vAlign w:val="center"/>
          </w:tcPr>
          <w:p>
            <w:pPr>
              <w:pStyle w:val="49"/>
            </w:pPr>
            <w:r>
              <w:rPr>
                <w:rFonts w:hint="eastAsia"/>
              </w:rPr>
              <w:t>Ⅱ</w:t>
            </w:r>
          </w:p>
        </w:tc>
        <w:tc>
          <w:tcPr>
            <w:tcW w:w="4615" w:type="dxa"/>
            <w:vAlign w:val="center"/>
          </w:tcPr>
          <w:p>
            <w:pPr>
              <w:pStyle w:val="49"/>
            </w:pPr>
            <w:r>
              <w:rPr>
                <w:rFonts w:hint="eastAsia"/>
              </w:rPr>
              <w:t>含有海水氯化物近海或海洋环境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81" w:type="dxa"/>
            <w:vAlign w:val="center"/>
          </w:tcPr>
          <w:p>
            <w:pPr>
              <w:pStyle w:val="49"/>
            </w:pPr>
            <w:r>
              <w:rPr>
                <w:rFonts w:hint="eastAsia"/>
              </w:rPr>
              <w:t>Ⅲ</w:t>
            </w:r>
          </w:p>
        </w:tc>
        <w:tc>
          <w:tcPr>
            <w:tcW w:w="4615" w:type="dxa"/>
            <w:vAlign w:val="center"/>
          </w:tcPr>
          <w:p>
            <w:pPr>
              <w:pStyle w:val="49"/>
            </w:pPr>
            <w:r>
              <w:rPr>
                <w:rFonts w:hint="eastAsia"/>
              </w:rPr>
              <w:t>除冰盐等其他氯化物环境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81" w:type="dxa"/>
            <w:vAlign w:val="center"/>
          </w:tcPr>
          <w:p>
            <w:pPr>
              <w:pStyle w:val="49"/>
            </w:pPr>
            <w:r>
              <w:rPr>
                <w:rFonts w:hint="eastAsia"/>
              </w:rPr>
              <w:t>Ⅳ</w:t>
            </w:r>
          </w:p>
        </w:tc>
        <w:tc>
          <w:tcPr>
            <w:tcW w:w="4615" w:type="dxa"/>
            <w:vAlign w:val="center"/>
          </w:tcPr>
          <w:p>
            <w:pPr>
              <w:pStyle w:val="49"/>
            </w:pPr>
            <w:r>
              <w:rPr>
                <w:rFonts w:hint="eastAsia"/>
              </w:rPr>
              <w:t>其他化学物质引起混凝土腐蚀的环境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81" w:type="dxa"/>
            <w:vAlign w:val="center"/>
          </w:tcPr>
          <w:p>
            <w:pPr>
              <w:pStyle w:val="49"/>
            </w:pPr>
            <w:r>
              <w:rPr>
                <w:rFonts w:hint="eastAsia"/>
              </w:rPr>
              <w:t>Ⅳ</w:t>
            </w:r>
            <w:r>
              <w:rPr>
                <w:rFonts w:hint="eastAsia"/>
                <w:vertAlign w:val="subscript"/>
              </w:rPr>
              <w:t>1</w:t>
            </w:r>
          </w:p>
        </w:tc>
        <w:tc>
          <w:tcPr>
            <w:tcW w:w="4615" w:type="dxa"/>
            <w:vAlign w:val="center"/>
          </w:tcPr>
          <w:p>
            <w:pPr>
              <w:pStyle w:val="49"/>
            </w:pPr>
            <w:r>
              <w:rPr>
                <w:rFonts w:hint="eastAsia"/>
              </w:rPr>
              <w:t>土中和水中的化学腐蚀环境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81" w:type="dxa"/>
            <w:vAlign w:val="center"/>
          </w:tcPr>
          <w:p>
            <w:pPr>
              <w:pStyle w:val="49"/>
            </w:pPr>
            <w:r>
              <w:rPr>
                <w:rFonts w:hint="eastAsia"/>
              </w:rPr>
              <w:t>Ⅳ</w:t>
            </w:r>
            <w:r>
              <w:rPr>
                <w:rFonts w:hint="eastAsia"/>
                <w:vertAlign w:val="subscript"/>
              </w:rPr>
              <w:t>2</w:t>
            </w:r>
          </w:p>
        </w:tc>
        <w:tc>
          <w:tcPr>
            <w:tcW w:w="4615" w:type="dxa"/>
            <w:vAlign w:val="center"/>
          </w:tcPr>
          <w:p>
            <w:pPr>
              <w:pStyle w:val="49"/>
            </w:pPr>
            <w:r>
              <w:rPr>
                <w:rFonts w:hint="eastAsia"/>
              </w:rPr>
              <w:t>大气污染环境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81" w:type="dxa"/>
            <w:vAlign w:val="center"/>
          </w:tcPr>
          <w:p>
            <w:pPr>
              <w:pStyle w:val="49"/>
            </w:pPr>
            <w:r>
              <w:rPr>
                <w:rFonts w:hint="eastAsia"/>
              </w:rPr>
              <w:t>Ⅳ</w:t>
            </w:r>
            <w:r>
              <w:rPr>
                <w:rFonts w:hint="eastAsia"/>
                <w:vertAlign w:val="subscript"/>
              </w:rPr>
              <w:t>3</w:t>
            </w:r>
          </w:p>
        </w:tc>
        <w:tc>
          <w:tcPr>
            <w:tcW w:w="4615" w:type="dxa"/>
            <w:vAlign w:val="center"/>
          </w:tcPr>
          <w:p>
            <w:pPr>
              <w:pStyle w:val="49"/>
            </w:pPr>
            <w:r>
              <w:rPr>
                <w:rFonts w:hint="eastAsia"/>
              </w:rPr>
              <w:t>盐结晶环境</w:t>
            </w:r>
          </w:p>
        </w:tc>
      </w:tr>
    </w:tbl>
    <w:p>
      <w:pPr>
        <w:pStyle w:val="11"/>
      </w:pPr>
      <w:r>
        <w:rPr>
          <w:rFonts w:hint="eastAsia"/>
        </w:rPr>
        <w:t>表5.6.2-2  钢渣混凝土桩的环境等级</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48" w:type="dxa"/>
            <w:vAlign w:val="center"/>
          </w:tcPr>
          <w:p>
            <w:pPr>
              <w:pStyle w:val="49"/>
            </w:pPr>
            <w:r>
              <w:rPr>
                <w:rFonts w:hint="eastAsia"/>
              </w:rPr>
              <w:t>作用等级</w:t>
            </w:r>
          </w:p>
        </w:tc>
        <w:tc>
          <w:tcPr>
            <w:tcW w:w="4148" w:type="dxa"/>
            <w:vAlign w:val="center"/>
          </w:tcPr>
          <w:p>
            <w:pPr>
              <w:pStyle w:val="49"/>
            </w:pPr>
            <w:r>
              <w:rPr>
                <w:rFonts w:hint="eastAsia"/>
              </w:rPr>
              <w:t>作用程度的定性描述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48" w:type="dxa"/>
            <w:vAlign w:val="center"/>
          </w:tcPr>
          <w:p>
            <w:pPr>
              <w:pStyle w:val="49"/>
            </w:pPr>
            <w:r>
              <w:rPr>
                <w:rFonts w:hint="eastAsia"/>
              </w:rPr>
              <w:t>A</w:t>
            </w:r>
          </w:p>
        </w:tc>
        <w:tc>
          <w:tcPr>
            <w:tcW w:w="4148" w:type="dxa"/>
            <w:vAlign w:val="center"/>
          </w:tcPr>
          <w:p>
            <w:pPr>
              <w:pStyle w:val="49"/>
            </w:pPr>
            <w:r>
              <w:rPr>
                <w:rFonts w:hint="eastAsia"/>
              </w:rPr>
              <w:t>可忽视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48" w:type="dxa"/>
            <w:vAlign w:val="center"/>
          </w:tcPr>
          <w:p>
            <w:pPr>
              <w:pStyle w:val="49"/>
            </w:pPr>
            <w:r>
              <w:rPr>
                <w:rFonts w:hint="eastAsia"/>
              </w:rPr>
              <w:t>B</w:t>
            </w:r>
          </w:p>
        </w:tc>
        <w:tc>
          <w:tcPr>
            <w:tcW w:w="4148" w:type="dxa"/>
            <w:vAlign w:val="center"/>
          </w:tcPr>
          <w:p>
            <w:pPr>
              <w:pStyle w:val="49"/>
            </w:pPr>
            <w:r>
              <w:rPr>
                <w:rFonts w:hint="eastAsia"/>
              </w:rPr>
              <w:t>轻度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48" w:type="dxa"/>
            <w:vAlign w:val="center"/>
          </w:tcPr>
          <w:p>
            <w:pPr>
              <w:pStyle w:val="49"/>
            </w:pPr>
            <w:r>
              <w:rPr>
                <w:rFonts w:hint="eastAsia"/>
              </w:rPr>
              <w:t>C</w:t>
            </w:r>
          </w:p>
        </w:tc>
        <w:tc>
          <w:tcPr>
            <w:tcW w:w="4148" w:type="dxa"/>
            <w:vAlign w:val="center"/>
          </w:tcPr>
          <w:p>
            <w:pPr>
              <w:pStyle w:val="49"/>
            </w:pPr>
            <w:r>
              <w:rPr>
                <w:rFonts w:hint="eastAsia"/>
              </w:rPr>
              <w:t>中度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48" w:type="dxa"/>
            <w:vAlign w:val="center"/>
          </w:tcPr>
          <w:p>
            <w:pPr>
              <w:pStyle w:val="49"/>
            </w:pPr>
            <w:r>
              <w:rPr>
                <w:rFonts w:hint="eastAsia"/>
              </w:rPr>
              <w:t>D</w:t>
            </w:r>
          </w:p>
        </w:tc>
        <w:tc>
          <w:tcPr>
            <w:tcW w:w="4148" w:type="dxa"/>
            <w:vAlign w:val="center"/>
          </w:tcPr>
          <w:p>
            <w:pPr>
              <w:pStyle w:val="49"/>
            </w:pPr>
            <w:r>
              <w:rPr>
                <w:rFonts w:hint="eastAsia"/>
              </w:rPr>
              <w:t>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48" w:type="dxa"/>
            <w:vAlign w:val="center"/>
          </w:tcPr>
          <w:p>
            <w:pPr>
              <w:pStyle w:val="49"/>
            </w:pPr>
            <w:r>
              <w:rPr>
                <w:rFonts w:hint="eastAsia"/>
              </w:rPr>
              <w:t>E</w:t>
            </w:r>
          </w:p>
        </w:tc>
        <w:tc>
          <w:tcPr>
            <w:tcW w:w="4148" w:type="dxa"/>
            <w:vAlign w:val="center"/>
          </w:tcPr>
          <w:p>
            <w:pPr>
              <w:pStyle w:val="49"/>
            </w:pPr>
            <w:r>
              <w:rPr>
                <w:rFonts w:hint="eastAsia"/>
              </w:rPr>
              <w:t>非常严重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48" w:type="dxa"/>
            <w:vAlign w:val="center"/>
          </w:tcPr>
          <w:p>
            <w:pPr>
              <w:pStyle w:val="49"/>
            </w:pPr>
            <w:r>
              <w:rPr>
                <w:rFonts w:hint="eastAsia"/>
              </w:rPr>
              <w:t>F</w:t>
            </w:r>
          </w:p>
        </w:tc>
        <w:tc>
          <w:tcPr>
            <w:tcW w:w="4148" w:type="dxa"/>
            <w:vAlign w:val="center"/>
          </w:tcPr>
          <w:p>
            <w:pPr>
              <w:pStyle w:val="49"/>
            </w:pPr>
            <w:r>
              <w:rPr>
                <w:rFonts w:hint="eastAsia"/>
              </w:rPr>
              <w:t>极端严重</w:t>
            </w:r>
          </w:p>
        </w:tc>
      </w:tr>
    </w:tbl>
    <w:p>
      <w:pPr>
        <w:pStyle w:val="11"/>
      </w:pPr>
      <w:r>
        <w:rPr>
          <w:rFonts w:hint="eastAsia"/>
        </w:rPr>
        <w:t>表5.6.2-3  钢渣混凝土最大水胶比和最小胶凝材料用量</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2074"/>
        <w:gridCol w:w="2074"/>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74" w:type="dxa"/>
            <w:vMerge w:val="restart"/>
            <w:vAlign w:val="center"/>
          </w:tcPr>
          <w:p>
            <w:pPr>
              <w:pStyle w:val="49"/>
            </w:pPr>
            <w:r>
              <w:rPr>
                <w:rFonts w:hint="eastAsia"/>
              </w:rPr>
              <w:t>环境作用等级</w:t>
            </w:r>
          </w:p>
        </w:tc>
        <w:tc>
          <w:tcPr>
            <w:tcW w:w="6222" w:type="dxa"/>
            <w:gridSpan w:val="3"/>
            <w:vAlign w:val="center"/>
          </w:tcPr>
          <w:p>
            <w:pPr>
              <w:pStyle w:val="49"/>
            </w:pPr>
            <w:r>
              <w:rPr>
                <w:rFonts w:hint="eastAsia"/>
              </w:rPr>
              <w:t>设计使用年限</w:t>
            </w:r>
          </w:p>
        </w:tc>
      </w:tr>
      <w:tr>
        <w:trPr>
          <w:jc w:val="center"/>
        </w:trPr>
        <w:tc>
          <w:tcPr>
            <w:tcW w:w="2074" w:type="dxa"/>
            <w:vMerge w:val="continue"/>
            <w:vAlign w:val="center"/>
          </w:tcPr>
          <w:p>
            <w:pPr>
              <w:pStyle w:val="49"/>
            </w:pPr>
          </w:p>
        </w:tc>
        <w:tc>
          <w:tcPr>
            <w:tcW w:w="2074" w:type="dxa"/>
            <w:vAlign w:val="center"/>
          </w:tcPr>
          <w:p>
            <w:pPr>
              <w:pStyle w:val="49"/>
            </w:pPr>
            <w:r>
              <w:rPr>
                <w:rFonts w:hint="eastAsia"/>
              </w:rPr>
              <w:t>100年</w:t>
            </w:r>
          </w:p>
        </w:tc>
        <w:tc>
          <w:tcPr>
            <w:tcW w:w="2074" w:type="dxa"/>
            <w:vAlign w:val="center"/>
          </w:tcPr>
          <w:p>
            <w:pPr>
              <w:pStyle w:val="49"/>
            </w:pPr>
            <w:r>
              <w:rPr>
                <w:rFonts w:hint="eastAsia"/>
              </w:rPr>
              <w:t>50年</w:t>
            </w:r>
          </w:p>
        </w:tc>
        <w:tc>
          <w:tcPr>
            <w:tcW w:w="2074" w:type="dxa"/>
            <w:vAlign w:val="center"/>
          </w:tcPr>
          <w:p>
            <w:pPr>
              <w:pStyle w:val="49"/>
            </w:pPr>
            <w:r>
              <w:rPr>
                <w:rFonts w:hint="eastAsia"/>
              </w:rPr>
              <w:t>30年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74" w:type="dxa"/>
            <w:vAlign w:val="center"/>
          </w:tcPr>
          <w:p>
            <w:pPr>
              <w:pStyle w:val="49"/>
            </w:pPr>
            <w:r>
              <w:rPr>
                <w:rFonts w:hint="eastAsia"/>
              </w:rPr>
              <w:t>A</w:t>
            </w:r>
          </w:p>
        </w:tc>
        <w:tc>
          <w:tcPr>
            <w:tcW w:w="2074" w:type="dxa"/>
            <w:vAlign w:val="center"/>
          </w:tcPr>
          <w:p>
            <w:pPr>
              <w:pStyle w:val="49"/>
            </w:pPr>
            <w:r>
              <w:rPr>
                <w:rFonts w:hint="eastAsia"/>
              </w:rPr>
              <w:t>0.50，310</w:t>
            </w:r>
          </w:p>
        </w:tc>
        <w:tc>
          <w:tcPr>
            <w:tcW w:w="2074" w:type="dxa"/>
            <w:vAlign w:val="center"/>
          </w:tcPr>
          <w:p>
            <w:pPr>
              <w:pStyle w:val="49"/>
            </w:pPr>
            <w:r>
              <w:rPr>
                <w:rFonts w:hint="eastAsia"/>
              </w:rPr>
              <w:t>0.55，290</w:t>
            </w:r>
          </w:p>
        </w:tc>
        <w:tc>
          <w:tcPr>
            <w:tcW w:w="2074" w:type="dxa"/>
            <w:vAlign w:val="center"/>
          </w:tcPr>
          <w:p>
            <w:pPr>
              <w:pStyle w:val="49"/>
            </w:pPr>
            <w:r>
              <w:rPr>
                <w:rFonts w:hint="eastAsia"/>
              </w:rPr>
              <w:t>0.60，270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74" w:type="dxa"/>
            <w:vAlign w:val="center"/>
          </w:tcPr>
          <w:p>
            <w:pPr>
              <w:pStyle w:val="49"/>
            </w:pPr>
            <w:r>
              <w:rPr>
                <w:rFonts w:hint="eastAsia"/>
              </w:rPr>
              <w:t>B</w:t>
            </w:r>
          </w:p>
        </w:tc>
        <w:tc>
          <w:tcPr>
            <w:tcW w:w="2074" w:type="dxa"/>
            <w:vAlign w:val="center"/>
          </w:tcPr>
          <w:p>
            <w:pPr>
              <w:pStyle w:val="49"/>
            </w:pPr>
            <w:r>
              <w:rPr>
                <w:rFonts w:hint="eastAsia"/>
              </w:rPr>
              <w:t>0.45，330</w:t>
            </w:r>
          </w:p>
        </w:tc>
        <w:tc>
          <w:tcPr>
            <w:tcW w:w="2074" w:type="dxa"/>
            <w:vAlign w:val="center"/>
          </w:tcPr>
          <w:p>
            <w:pPr>
              <w:pStyle w:val="49"/>
            </w:pPr>
            <w:r>
              <w:rPr>
                <w:rFonts w:hint="eastAsia"/>
              </w:rPr>
              <w:t>0.50，310</w:t>
            </w:r>
          </w:p>
        </w:tc>
        <w:tc>
          <w:tcPr>
            <w:tcW w:w="2074" w:type="dxa"/>
            <w:vAlign w:val="center"/>
          </w:tcPr>
          <w:p>
            <w:pPr>
              <w:pStyle w:val="49"/>
            </w:pPr>
            <w:r>
              <w:rPr>
                <w:rFonts w:hint="eastAsia"/>
              </w:rPr>
              <w:t>0.55，290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74" w:type="dxa"/>
            <w:vAlign w:val="center"/>
          </w:tcPr>
          <w:p>
            <w:pPr>
              <w:pStyle w:val="49"/>
            </w:pPr>
            <w:r>
              <w:rPr>
                <w:rFonts w:hint="eastAsia"/>
              </w:rPr>
              <w:t>C</w:t>
            </w:r>
          </w:p>
        </w:tc>
        <w:tc>
          <w:tcPr>
            <w:tcW w:w="2074" w:type="dxa"/>
            <w:vAlign w:val="center"/>
          </w:tcPr>
          <w:p>
            <w:pPr>
              <w:pStyle w:val="49"/>
            </w:pPr>
            <w:r>
              <w:rPr>
                <w:rFonts w:hint="eastAsia"/>
              </w:rPr>
              <w:t>0.40，350</w:t>
            </w:r>
          </w:p>
        </w:tc>
        <w:tc>
          <w:tcPr>
            <w:tcW w:w="2074" w:type="dxa"/>
            <w:vAlign w:val="center"/>
          </w:tcPr>
          <w:p>
            <w:pPr>
              <w:pStyle w:val="49"/>
            </w:pPr>
            <w:r>
              <w:rPr>
                <w:rFonts w:hint="eastAsia"/>
              </w:rPr>
              <w:t>0.45，330</w:t>
            </w:r>
          </w:p>
        </w:tc>
        <w:tc>
          <w:tcPr>
            <w:tcW w:w="2074" w:type="dxa"/>
            <w:vAlign w:val="center"/>
          </w:tcPr>
          <w:p>
            <w:pPr>
              <w:pStyle w:val="49"/>
            </w:pPr>
            <w:r>
              <w:rPr>
                <w:rFonts w:hint="eastAsia"/>
              </w:rPr>
              <w:t>0.45，330</w:t>
            </w:r>
          </w:p>
        </w:tc>
      </w:tr>
      <w:tr>
        <w:trPr>
          <w:jc w:val="center"/>
        </w:trPr>
        <w:tc>
          <w:tcPr>
            <w:tcW w:w="2074" w:type="dxa"/>
            <w:vAlign w:val="center"/>
          </w:tcPr>
          <w:p>
            <w:pPr>
              <w:pStyle w:val="49"/>
            </w:pPr>
            <w:r>
              <w:rPr>
                <w:rFonts w:hint="eastAsia"/>
              </w:rPr>
              <w:t>D</w:t>
            </w:r>
          </w:p>
        </w:tc>
        <w:tc>
          <w:tcPr>
            <w:tcW w:w="2074" w:type="dxa"/>
            <w:vAlign w:val="center"/>
          </w:tcPr>
          <w:p>
            <w:pPr>
              <w:pStyle w:val="49"/>
            </w:pPr>
            <w:r>
              <w:rPr>
                <w:rFonts w:hint="eastAsia"/>
              </w:rPr>
              <w:t>0.35，370</w:t>
            </w:r>
          </w:p>
        </w:tc>
        <w:tc>
          <w:tcPr>
            <w:tcW w:w="2074" w:type="dxa"/>
            <w:vAlign w:val="center"/>
          </w:tcPr>
          <w:p>
            <w:pPr>
              <w:pStyle w:val="49"/>
            </w:pPr>
            <w:r>
              <w:rPr>
                <w:rFonts w:hint="eastAsia"/>
              </w:rPr>
              <w:t>0.40，350</w:t>
            </w:r>
          </w:p>
        </w:tc>
        <w:tc>
          <w:tcPr>
            <w:tcW w:w="2074" w:type="dxa"/>
            <w:vAlign w:val="center"/>
          </w:tcPr>
          <w:p>
            <w:pPr>
              <w:pStyle w:val="49"/>
            </w:pPr>
            <w:r>
              <w:rPr>
                <w:rFonts w:hint="eastAsia"/>
              </w:rPr>
              <w:t>0.40，350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74" w:type="dxa"/>
            <w:vAlign w:val="center"/>
          </w:tcPr>
          <w:p>
            <w:pPr>
              <w:pStyle w:val="49"/>
            </w:pPr>
            <w:r>
              <w:rPr>
                <w:rFonts w:hint="eastAsia"/>
              </w:rPr>
              <w:t>E</w:t>
            </w:r>
          </w:p>
        </w:tc>
        <w:tc>
          <w:tcPr>
            <w:tcW w:w="2074" w:type="dxa"/>
            <w:vAlign w:val="center"/>
          </w:tcPr>
          <w:p>
            <w:pPr>
              <w:pStyle w:val="49"/>
            </w:pPr>
            <w:r>
              <w:rPr>
                <w:rFonts w:hint="eastAsia"/>
              </w:rPr>
              <w:t>0.31，390</w:t>
            </w:r>
          </w:p>
        </w:tc>
        <w:tc>
          <w:tcPr>
            <w:tcW w:w="2074" w:type="dxa"/>
            <w:vAlign w:val="center"/>
          </w:tcPr>
          <w:p>
            <w:pPr>
              <w:pStyle w:val="49"/>
            </w:pPr>
            <w:r>
              <w:rPr>
                <w:rFonts w:hint="eastAsia"/>
              </w:rPr>
              <w:t>0.35，340</w:t>
            </w:r>
          </w:p>
        </w:tc>
        <w:tc>
          <w:tcPr>
            <w:tcW w:w="2074" w:type="dxa"/>
            <w:vAlign w:val="center"/>
          </w:tcPr>
          <w:p>
            <w:pPr>
              <w:pStyle w:val="49"/>
            </w:pPr>
            <w:r>
              <w:rPr>
                <w:rFonts w:hint="eastAsia"/>
              </w:rPr>
              <w:t>0.35，340</w:t>
            </w:r>
          </w:p>
        </w:tc>
      </w:tr>
      <w:tr>
        <w:trPr>
          <w:jc w:val="center"/>
        </w:trPr>
        <w:tc>
          <w:tcPr>
            <w:tcW w:w="2074" w:type="dxa"/>
            <w:vAlign w:val="center"/>
          </w:tcPr>
          <w:p>
            <w:pPr>
              <w:pStyle w:val="49"/>
            </w:pPr>
            <w:r>
              <w:rPr>
                <w:rFonts w:hint="eastAsia"/>
              </w:rPr>
              <w:t>F</w:t>
            </w:r>
          </w:p>
        </w:tc>
        <w:tc>
          <w:tcPr>
            <w:tcW w:w="2074" w:type="dxa"/>
            <w:vAlign w:val="center"/>
          </w:tcPr>
          <w:p>
            <w:pPr>
              <w:pStyle w:val="49"/>
            </w:pPr>
            <w:r>
              <w:rPr>
                <w:rFonts w:hint="eastAsia"/>
              </w:rPr>
              <w:t>0.30，410</w:t>
            </w:r>
          </w:p>
        </w:tc>
        <w:tc>
          <w:tcPr>
            <w:tcW w:w="2074" w:type="dxa"/>
            <w:vAlign w:val="center"/>
          </w:tcPr>
          <w:p>
            <w:pPr>
              <w:pStyle w:val="49"/>
            </w:pPr>
            <w:r>
              <w:rPr>
                <w:rFonts w:hint="eastAsia"/>
              </w:rPr>
              <w:t>0.31，</w:t>
            </w:r>
            <w:r>
              <w:t>40</w:t>
            </w:r>
            <w:r>
              <w:rPr>
                <w:rFonts w:hint="eastAsia"/>
              </w:rPr>
              <w:t>0</w:t>
            </w:r>
          </w:p>
        </w:tc>
        <w:tc>
          <w:tcPr>
            <w:tcW w:w="2074" w:type="dxa"/>
            <w:vAlign w:val="center"/>
          </w:tcPr>
          <w:p>
            <w:pPr>
              <w:pStyle w:val="49"/>
            </w:pPr>
            <w:r>
              <w:rPr>
                <w:rFonts w:hint="eastAsia"/>
              </w:rPr>
              <w:t>0.31，390</w:t>
            </w:r>
          </w:p>
        </w:tc>
      </w:tr>
    </w:tbl>
    <w:p>
      <w:pPr>
        <w:ind w:firstLine="0" w:firstLineChars="0"/>
      </w:pPr>
      <w:r>
        <w:rPr>
          <w:rFonts w:hint="eastAsia"/>
        </w:rPr>
        <w:t>5.6.3  当用钢渣细骨料替换普通细骨料时，钢渣细骨料的替代率宜在</w:t>
      </w:r>
      <w:r>
        <w:t>20%-100%</w:t>
      </w:r>
      <w:r>
        <w:rPr>
          <w:rFonts w:hint="eastAsia"/>
        </w:rPr>
        <w:t>。用钢渣粗骨料替换普通粗骨料时，钢渣粗骨料的替代率宜在</w:t>
      </w:r>
      <w:r>
        <w:t>40%-80%</w:t>
      </w:r>
      <w:r>
        <w:rPr>
          <w:rFonts w:hint="eastAsia"/>
        </w:rPr>
        <w:t>。如需将钢渣掺入特殊环境的混凝土中，实际掺量宜通过试验确定。</w:t>
      </w:r>
    </w:p>
    <w:p>
      <w:pPr>
        <w:ind w:firstLine="0" w:firstLineChars="0"/>
      </w:pPr>
      <w:r>
        <w:rPr>
          <w:rFonts w:hint="eastAsia"/>
        </w:rPr>
        <w:t>5.6.4  矿物掺合料的掺量应通过试验确定，粉煤灰的掺量不宜大于胶凝材料总量的25%，硅灰的掺量不宜大于胶凝材料总量的10%。</w:t>
      </w:r>
    </w:p>
    <w:p>
      <w:pPr>
        <w:ind w:firstLine="0" w:firstLineChars="0"/>
      </w:pPr>
      <w:r>
        <w:rPr>
          <w:rFonts w:hint="eastAsia"/>
        </w:rPr>
        <w:t>5.6.5  有预防混凝土碱骨料反应设计要求的工程，应避免采用具有碱活性的钢渣。</w:t>
      </w:r>
    </w:p>
    <w:p>
      <w:pPr>
        <w:ind w:firstLine="0" w:firstLineChars="0"/>
      </w:pPr>
      <w:r>
        <w:rPr>
          <w:rFonts w:hint="eastAsia"/>
        </w:rPr>
        <w:t>5.6.6  有特殊要求的钢渣混凝土的配合比应通过试验确定。</w:t>
      </w:r>
    </w:p>
    <w:p>
      <w:pPr>
        <w:ind w:firstLine="480"/>
      </w:pPr>
    </w:p>
    <w:p>
      <w:pPr>
        <w:ind w:firstLine="480"/>
        <w:sectPr>
          <w:pgSz w:w="11906" w:h="16838"/>
          <w:pgMar w:top="1440" w:right="1800" w:bottom="1440" w:left="1800" w:header="851" w:footer="992" w:gutter="0"/>
          <w:cols w:space="425" w:num="1"/>
          <w:docGrid w:type="lines" w:linePitch="312" w:charSpace="0"/>
        </w:sectPr>
      </w:pPr>
    </w:p>
    <w:p>
      <w:pPr>
        <w:pStyle w:val="2"/>
      </w:pPr>
      <w:bookmarkStart w:id="102" w:name="_Toc213257654"/>
      <w:bookmarkStart w:id="103" w:name="_Toc213662944"/>
      <w:bookmarkStart w:id="104" w:name="_Toc213690069"/>
      <w:bookmarkStart w:id="105" w:name="_Toc213773540"/>
      <w:bookmarkStart w:id="106" w:name="_Toc213663138"/>
      <w:bookmarkStart w:id="107" w:name="_Toc213271644"/>
      <w:r>
        <w:rPr>
          <w:rFonts w:hint="eastAsia"/>
        </w:rPr>
        <w:t>6  钢渣混凝土桩复合地基设计</w:t>
      </w:r>
      <w:bookmarkEnd w:id="102"/>
      <w:bookmarkEnd w:id="103"/>
      <w:bookmarkEnd w:id="104"/>
      <w:bookmarkEnd w:id="105"/>
      <w:bookmarkEnd w:id="106"/>
      <w:bookmarkEnd w:id="107"/>
    </w:p>
    <w:p>
      <w:pPr>
        <w:pStyle w:val="3"/>
      </w:pPr>
      <w:bookmarkStart w:id="108" w:name="_Toc212480160"/>
      <w:r>
        <w:rPr>
          <w:rFonts w:hint="eastAsia"/>
        </w:rPr>
        <w:tab/>
      </w:r>
      <w:bookmarkStart w:id="109" w:name="_Toc213663139"/>
      <w:bookmarkStart w:id="110" w:name="_Toc213271645"/>
      <w:bookmarkStart w:id="111" w:name="_Toc213257655"/>
      <w:bookmarkStart w:id="112" w:name="_Toc213690070"/>
      <w:bookmarkStart w:id="113" w:name="_Toc213662945"/>
      <w:bookmarkStart w:id="114" w:name="_Toc213773541"/>
      <w:r>
        <w:rPr>
          <w:rFonts w:hint="eastAsia"/>
        </w:rPr>
        <w:t>6.1  一般规定</w:t>
      </w:r>
      <w:bookmarkEnd w:id="109"/>
      <w:bookmarkEnd w:id="110"/>
      <w:bookmarkEnd w:id="111"/>
      <w:bookmarkEnd w:id="112"/>
      <w:bookmarkEnd w:id="113"/>
      <w:bookmarkEnd w:id="114"/>
    </w:p>
    <w:p>
      <w:pPr>
        <w:ind w:firstLine="0" w:firstLineChars="0"/>
      </w:pPr>
      <w:r>
        <w:rPr>
          <w:rFonts w:hint="eastAsia"/>
        </w:rPr>
        <w:t>6</w:t>
      </w:r>
      <w:r>
        <w:t>.1.</w:t>
      </w:r>
      <w:r>
        <w:rPr>
          <w:rFonts w:hint="eastAsia"/>
        </w:rPr>
        <w:t xml:space="preserve">1 </w:t>
      </w:r>
      <w:r>
        <w:t xml:space="preserve"> </w:t>
      </w:r>
      <w:r>
        <w:rPr>
          <w:rFonts w:hint="eastAsia"/>
        </w:rPr>
        <w:t>钢渣混凝土桩复合地基设计应遵循桩土共同作用理论。</w:t>
      </w:r>
      <w:r>
        <w:t>复合地基设计前，应在有代表性的场地上进行现场试验或试验性施工，以确定设计参数和处理效果。</w:t>
      </w:r>
    </w:p>
    <w:p>
      <w:pPr>
        <w:ind w:firstLine="0" w:firstLineChars="0"/>
      </w:pPr>
      <w:r>
        <w:rPr>
          <w:rFonts w:hint="eastAsia"/>
        </w:rPr>
        <w:t>6</w:t>
      </w:r>
      <w:r>
        <w:t>.1.2</w:t>
      </w:r>
      <w:r>
        <w:rPr>
          <w:rFonts w:hint="eastAsia"/>
        </w:rPr>
        <w:t xml:space="preserve"> </w:t>
      </w:r>
      <w:r>
        <w:t xml:space="preserve"> 钢渣</w:t>
      </w:r>
      <w:r>
        <w:rPr>
          <w:rFonts w:hint="eastAsia"/>
        </w:rPr>
        <w:t>混凝土桩复合地基增强体宜选择中、低压缩性土为桩端持力层。</w:t>
      </w:r>
    </w:p>
    <w:p>
      <w:pPr>
        <w:ind w:firstLine="0" w:firstLineChars="0"/>
      </w:pPr>
      <w:r>
        <w:rPr>
          <w:rFonts w:hint="eastAsia"/>
        </w:rPr>
        <w:t>6</w:t>
      </w:r>
      <w:r>
        <w:t xml:space="preserve">.1.3 </w:t>
      </w:r>
      <w:r>
        <w:rPr>
          <w:rFonts w:hint="eastAsia"/>
        </w:rPr>
        <w:t xml:space="preserve"> 钢渣混凝土复合地基加固区下一定深度内存在软弱下卧层，应进行软弱下卧层承载力验算。</w:t>
      </w:r>
    </w:p>
    <w:p>
      <w:pPr>
        <w:ind w:firstLine="0" w:firstLineChars="0"/>
      </w:pPr>
      <w:r>
        <w:rPr>
          <w:rFonts w:hint="eastAsia"/>
        </w:rPr>
        <w:t>6.1.</w:t>
      </w:r>
      <w:r>
        <w:t>4</w:t>
      </w:r>
      <w:r>
        <w:rPr>
          <w:rFonts w:hint="eastAsia"/>
        </w:rPr>
        <w:t xml:space="preserve">  </w:t>
      </w:r>
      <w:r>
        <w:t>钢渣</w:t>
      </w:r>
      <w:r>
        <w:rPr>
          <w:rFonts w:hint="eastAsia"/>
        </w:rPr>
        <w:t>混凝土桩复合地基设计时应进行地基变形验算。</w:t>
      </w:r>
    </w:p>
    <w:p>
      <w:pPr>
        <w:ind w:firstLine="0" w:firstLineChars="0"/>
      </w:pPr>
      <w:r>
        <w:rPr>
          <w:rFonts w:hint="eastAsia"/>
        </w:rPr>
        <w:t>6.1.</w:t>
      </w:r>
      <w:r>
        <w:t>5</w:t>
      </w:r>
      <w:r>
        <w:rPr>
          <w:rFonts w:hint="eastAsia"/>
        </w:rPr>
        <w:t xml:space="preserve">  位于边坡顶部或附近的钢渣混凝土桩，其稳定性验算按现行国家标准《建筑边坡工程技术规范》GB 50330 的要求执行。</w:t>
      </w:r>
    </w:p>
    <w:p>
      <w:pPr>
        <w:pStyle w:val="3"/>
      </w:pPr>
      <w:r>
        <w:rPr>
          <w:rFonts w:hint="eastAsia"/>
        </w:rPr>
        <w:tab/>
      </w:r>
      <w:bookmarkStart w:id="115" w:name="_Toc213773542"/>
      <w:bookmarkStart w:id="116" w:name="_Toc213662946"/>
      <w:bookmarkStart w:id="117" w:name="_Toc213271646"/>
      <w:bookmarkStart w:id="118" w:name="_Toc213257656"/>
      <w:bookmarkStart w:id="119" w:name="_Toc213690071"/>
      <w:bookmarkStart w:id="120" w:name="_Toc213663140"/>
      <w:r>
        <w:rPr>
          <w:rFonts w:hint="eastAsia"/>
        </w:rPr>
        <w:t>6.2  设计要求</w:t>
      </w:r>
      <w:bookmarkEnd w:id="115"/>
      <w:bookmarkEnd w:id="116"/>
      <w:bookmarkEnd w:id="117"/>
      <w:bookmarkEnd w:id="118"/>
      <w:bookmarkEnd w:id="119"/>
      <w:bookmarkEnd w:id="120"/>
    </w:p>
    <w:p>
      <w:pPr>
        <w:ind w:firstLine="0" w:firstLineChars="0"/>
      </w:pPr>
      <w:r>
        <w:rPr>
          <w:rFonts w:hint="eastAsia"/>
        </w:rPr>
        <w:t xml:space="preserve">6.2.1  </w:t>
      </w:r>
      <w:r>
        <w:t>钢渣</w:t>
      </w:r>
      <w:r>
        <w:rPr>
          <w:rFonts w:hint="eastAsia"/>
        </w:rPr>
        <w:t>混凝土</w:t>
      </w:r>
      <w:r>
        <w:t>桩</w:t>
      </w:r>
      <w:r>
        <w:rPr>
          <w:rFonts w:hint="eastAsia"/>
        </w:rPr>
        <w:t>可只在基础范围内布置，应根据建筑物荷载分布、基础形式、地基土性状，合理确定布桩参数。对框架核心筒结构形式，核心筒部位布桩，宜减小桩距、增加桩长或加大桩径，提高复合地基承载力和模量；墙下条形基础，当荷载水平不高时，可采用墙下单排布桩。</w:t>
      </w:r>
    </w:p>
    <w:p>
      <w:pPr>
        <w:ind w:firstLine="0" w:firstLineChars="0"/>
      </w:pPr>
      <w:r>
        <w:rPr>
          <w:rFonts w:hint="eastAsia"/>
        </w:rPr>
        <w:t xml:space="preserve">6.2.2 </w:t>
      </w:r>
      <w:r>
        <w:t xml:space="preserve"> </w:t>
      </w:r>
      <w:r>
        <w:rPr>
          <w:rFonts w:hint="eastAsia"/>
        </w:rPr>
        <w:t>桩径宜取350 mm~800 mm。长螺旋钻中心压灌、干成孔成桩宜取</w:t>
      </w:r>
      <w:r>
        <w:t>350</w:t>
      </w:r>
      <w:r>
        <w:rPr>
          <w:rFonts w:hint="eastAsia"/>
        </w:rPr>
        <w:t xml:space="preserve"> mm～</w:t>
      </w:r>
      <w:r>
        <w:t>600</w:t>
      </w:r>
      <w:r>
        <w:rPr>
          <w:rFonts w:hint="eastAsia"/>
        </w:rPr>
        <w:t xml:space="preserve"> </w:t>
      </w:r>
      <w:r>
        <w:t>mm</w:t>
      </w:r>
      <w:r>
        <w:rPr>
          <w:rFonts w:hint="eastAsia"/>
        </w:rPr>
        <w:t>；泥浆护壁钻孔灌注成桩宜取</w:t>
      </w:r>
      <w:r>
        <w:t>600</w:t>
      </w:r>
      <w:r>
        <w:rPr>
          <w:rFonts w:hint="eastAsia"/>
        </w:rPr>
        <w:t xml:space="preserve"> mm～</w:t>
      </w:r>
      <w:r>
        <w:t>800</w:t>
      </w:r>
      <w:r>
        <w:rPr>
          <w:rFonts w:hint="eastAsia"/>
        </w:rPr>
        <w:t xml:space="preserve"> </w:t>
      </w:r>
      <w:r>
        <w:t>mm</w:t>
      </w:r>
      <w:r>
        <w:rPr>
          <w:rFonts w:hint="eastAsia"/>
        </w:rPr>
        <w:t>。</w:t>
      </w:r>
    </w:p>
    <w:p>
      <w:pPr>
        <w:ind w:firstLine="0" w:firstLineChars="0"/>
      </w:pPr>
      <w:r>
        <w:rPr>
          <w:rFonts w:hint="eastAsia"/>
        </w:rPr>
        <w:t>6.2.3  钢渣混凝土桩桩间距应根据基础形式、设计要求的复合地基承载力、土性、施工工艺等确定：箱基、筏基和独立基础，桩距宜取</w:t>
      </w:r>
      <w:r>
        <w:t>3</w:t>
      </w:r>
      <w:r>
        <w:rPr>
          <w:rFonts w:hint="eastAsia"/>
        </w:rPr>
        <w:t>～</w:t>
      </w:r>
      <w:r>
        <w:t>5</w:t>
      </w:r>
      <w:r>
        <w:rPr>
          <w:rFonts w:hint="eastAsia"/>
        </w:rPr>
        <w:t>倍桩径；墙下条基单排布桩宜取</w:t>
      </w:r>
      <w:r>
        <w:t>3</w:t>
      </w:r>
      <w:r>
        <w:rPr>
          <w:rFonts w:hint="eastAsia"/>
        </w:rPr>
        <w:t>～</w:t>
      </w:r>
      <w:r>
        <w:t>6</w:t>
      </w:r>
      <w:r>
        <w:rPr>
          <w:rFonts w:hint="eastAsia"/>
        </w:rPr>
        <w:t>倍桩径。</w:t>
      </w:r>
    </w:p>
    <w:p>
      <w:pPr>
        <w:ind w:firstLine="0" w:firstLineChars="0"/>
      </w:pPr>
      <w:r>
        <w:rPr>
          <w:rFonts w:hint="eastAsia"/>
        </w:rPr>
        <w:t xml:space="preserve">6.2.4  </w:t>
      </w:r>
      <w:r>
        <w:t>钢渣</w:t>
      </w:r>
      <w:r>
        <w:rPr>
          <w:rFonts w:hint="eastAsia"/>
        </w:rPr>
        <w:t>混凝土</w:t>
      </w:r>
      <w:r>
        <w:t>桩</w:t>
      </w:r>
      <w:r>
        <w:rPr>
          <w:rFonts w:hint="eastAsia"/>
        </w:rPr>
        <w:t>桩顶与基础之间应设置褥垫层，褥垫层厚度宜取150 mm~300 mm，当桩径大或桩间距大时褥垫层厚度宜取高值。褥垫层材料宜采用中砂、粗砂、级配砂石或碎石等，最大粒径不宜大于30 mm。</w:t>
      </w:r>
    </w:p>
    <w:p>
      <w:pPr>
        <w:pStyle w:val="3"/>
      </w:pPr>
      <w:bookmarkStart w:id="121" w:name="_Toc213257657"/>
      <w:bookmarkStart w:id="122" w:name="_Toc213663141"/>
      <w:bookmarkStart w:id="123" w:name="_Toc213690072"/>
      <w:bookmarkStart w:id="124" w:name="_Toc213662947"/>
      <w:bookmarkStart w:id="125" w:name="_Toc213773543"/>
      <w:bookmarkStart w:id="126" w:name="_Toc213271647"/>
      <w:r>
        <w:rPr>
          <w:rFonts w:hint="eastAsia"/>
        </w:rPr>
        <w:t>6.3  承载力计算</w:t>
      </w:r>
      <w:bookmarkEnd w:id="121"/>
      <w:bookmarkEnd w:id="122"/>
      <w:bookmarkEnd w:id="123"/>
      <w:bookmarkEnd w:id="124"/>
      <w:bookmarkEnd w:id="125"/>
      <w:bookmarkEnd w:id="126"/>
    </w:p>
    <w:p>
      <w:pPr>
        <w:ind w:firstLine="0" w:firstLineChars="0"/>
      </w:pPr>
      <w:r>
        <w:rPr>
          <w:rFonts w:hint="eastAsia"/>
        </w:rPr>
        <w:t>6.3.1  钢渣混凝土桩复合地基承载力特征值，应通过现场复合地基载荷试验确定，初步设计时，</w:t>
      </w:r>
      <w:r>
        <w:t>应综合考虑桩端承载力、桩侧摩阻力及桩土共同作用的影响</w:t>
      </w:r>
      <w:r>
        <w:rPr>
          <w:rFonts w:hint="eastAsia"/>
        </w:rPr>
        <w:t>，根据现行国家标准</w:t>
      </w:r>
      <w:r>
        <w:rPr>
          <w:rFonts w:hint="eastAsia" w:ascii="微软雅黑" w:hAnsi="微软雅黑" w:eastAsia="微软雅黑" w:cs="微软雅黑"/>
        </w:rPr>
        <w:t>《</w:t>
      </w:r>
      <w:r>
        <w:rPr>
          <w:rFonts w:hint="eastAsia"/>
        </w:rPr>
        <w:t>复合地基技术规范</w:t>
      </w:r>
      <w:r>
        <w:rPr>
          <w:rFonts w:hint="eastAsia" w:ascii="微软雅黑" w:hAnsi="微软雅黑" w:eastAsia="微软雅黑" w:cs="微软雅黑"/>
        </w:rPr>
        <w:t>》</w:t>
      </w:r>
      <w:r>
        <w:rPr>
          <w:rFonts w:hint="eastAsia"/>
        </w:rPr>
        <w:t>GBT 50783</w:t>
      </w:r>
      <w:r>
        <w:t>的计算公式</w:t>
      </w:r>
      <w:r>
        <w:rPr>
          <w:rFonts w:hint="eastAsia"/>
        </w:rPr>
        <w:t>估算</w:t>
      </w:r>
      <w:r>
        <w:t>：</w:t>
      </w:r>
      <w:r>
        <w:rPr>
          <w:rFonts w:hint="eastAsia"/>
          <w:position w:val="-126"/>
        </w:rPr>
        <w:t xml:space="preserve">  </w:t>
      </w:r>
    </w:p>
    <w:p>
      <w:pPr>
        <w:spacing w:line="240" w:lineRule="auto"/>
        <w:ind w:firstLine="0" w:firstLineChars="0"/>
        <w:jc w:val="right"/>
      </w:pPr>
      <w:r>
        <w:rPr>
          <w:position w:val="-11"/>
        </w:rPr>
        <w:object>
          <v:shape id="_x0000_i1042" o:spt="75" type="#_x0000_t75" style="height:17.5pt;width:172pt;" o:ole="t" filled="f" o:preferrelative="t" stroked="f" coordsize="21600,21600">
            <v:path/>
            <v:fill on="f" focussize="0,0"/>
            <v:stroke on="f" joinstyle="miter"/>
            <v:imagedata r:id="rId57" o:title=""/>
            <o:lock v:ext="edit" aspectratio="t"/>
            <w10:wrap type="none"/>
            <w10:anchorlock/>
          </v:shape>
          <o:OLEObject Type="Embed" ProgID="Equation.AxMath" ShapeID="_x0000_i1042" DrawAspect="Content" ObjectID="_1468075742" r:id="rId56">
            <o:LockedField>false</o:LockedField>
          </o:OLEObject>
        </w:object>
      </w:r>
      <w:r>
        <w:rPr>
          <w:rFonts w:hint="eastAsia"/>
        </w:rPr>
        <w:t xml:space="preserve">            （6.3.1-1）</w:t>
      </w:r>
    </w:p>
    <w:p>
      <w:pPr>
        <w:spacing w:line="240" w:lineRule="auto"/>
        <w:ind w:firstLine="0" w:firstLineChars="0"/>
        <w:jc w:val="right"/>
      </w:pPr>
      <w:r>
        <w:rPr>
          <w:position w:val="-11"/>
        </w:rPr>
        <w:object>
          <v:shape id="_x0000_i1043" o:spt="75" type="#_x0000_t75" style="height:17.5pt;width:56pt;" o:ole="t" filled="f" o:preferrelative="t" stroked="f" coordsize="21600,21600">
            <v:path/>
            <v:fill on="f" focussize="0,0"/>
            <v:stroke on="f" joinstyle="miter"/>
            <v:imagedata r:id="rId59" o:title=""/>
            <o:lock v:ext="edit" aspectratio="t"/>
            <w10:wrap type="none"/>
            <w10:anchorlock/>
          </v:shape>
          <o:OLEObject Type="Embed" ProgID="Equation.AxMath" ShapeID="_x0000_i1043" DrawAspect="Content" ObjectID="_1468075743" r:id="rId58">
            <o:LockedField>false</o:LockedField>
          </o:OLEObject>
        </w:object>
      </w:r>
      <w:r>
        <w:rPr>
          <w:rFonts w:hint="eastAsia"/>
          <w:position w:val="-12"/>
        </w:rPr>
        <w:t xml:space="preserve">                    （6.3.1-2）</w:t>
      </w:r>
    </w:p>
    <w:p>
      <w:pPr>
        <w:ind w:firstLine="0" w:firstLineChars="0"/>
      </w:pPr>
      <w:r>
        <w:rPr>
          <w:rFonts w:hint="eastAsia"/>
        </w:rPr>
        <w:t>式中：</w:t>
      </w:r>
      <w:r>
        <w:rPr>
          <w:i/>
          <w:iCs/>
        </w:rPr>
        <w:t>f</w:t>
      </w:r>
      <w:r>
        <w:rPr>
          <w:vertAlign w:val="subscript"/>
        </w:rPr>
        <w:t>spk</w:t>
      </w:r>
      <w:r>
        <w:t>——复合地基承载力特征值（kPa）；</w:t>
      </w:r>
    </w:p>
    <w:p>
      <w:pPr>
        <w:ind w:firstLine="720" w:firstLineChars="300"/>
      </w:pPr>
      <m:oMath>
        <m:sSub>
          <m:sSubPr>
            <m:ctrlPr>
              <w:rPr>
                <w:rFonts w:ascii="Cambria Math" w:hAnsi="Cambria Math"/>
                <w:i/>
              </w:rPr>
            </m:ctrlPr>
          </m:sSubPr>
          <m:e>
            <m:r>
              <m:rPr/>
              <w:rPr>
                <w:rFonts w:ascii="Cambria Math"/>
              </w:rPr>
              <m:t>A</m:t>
            </m:r>
            <m:ctrlPr>
              <w:rPr>
                <w:rFonts w:ascii="Cambria Math" w:hAnsi="Cambria Math"/>
                <w:i/>
              </w:rPr>
            </m:ctrlPr>
          </m:e>
          <m:sub>
            <m:r>
              <m:rPr/>
              <w:rPr>
                <w:rFonts w:ascii="Cambria Math"/>
              </w:rPr>
              <m:t>p</m:t>
            </m:r>
            <m:ctrlPr>
              <w:rPr>
                <w:rFonts w:ascii="Cambria Math" w:hAnsi="Cambria Math"/>
                <w:i/>
              </w:rPr>
            </m:ctrlPr>
          </m:sub>
        </m:sSub>
      </m:oMath>
      <w:r>
        <w:t>——</w:t>
      </w:r>
      <w:r>
        <w:rPr>
          <w:rFonts w:hint="eastAsia"/>
        </w:rPr>
        <w:t>单桩截面积(m</w:t>
      </w:r>
      <w:r>
        <w:rPr>
          <w:rFonts w:hint="eastAsia"/>
          <w:vertAlign w:val="superscript"/>
        </w:rPr>
        <w:t>2</w:t>
      </w:r>
      <w:r>
        <w:rPr>
          <w:rFonts w:hint="eastAsia"/>
        </w:rPr>
        <w:t>)；</w:t>
      </w:r>
    </w:p>
    <w:p>
      <w:pPr>
        <w:ind w:firstLine="720" w:firstLineChars="300"/>
      </w:pPr>
      <m:oMath>
        <m:sSub>
          <m:sSubPr>
            <m:ctrlPr>
              <w:rPr>
                <w:rFonts w:ascii="Cambria Math" w:hAnsi="Cambria Math"/>
                <w:i/>
              </w:rPr>
            </m:ctrlPr>
          </m:sSubPr>
          <m:e>
            <m:r>
              <m:rPr/>
              <w:rPr>
                <w:rFonts w:ascii="Cambria Math"/>
              </w:rPr>
              <m:t>R</m:t>
            </m:r>
            <m:ctrlPr>
              <w:rPr>
                <w:rFonts w:ascii="Cambria Math" w:hAnsi="Cambria Math"/>
                <w:i/>
              </w:rPr>
            </m:ctrlPr>
          </m:e>
          <m:sub>
            <m:r>
              <m:rPr/>
              <w:rPr>
                <w:rFonts w:ascii="Cambria Math"/>
              </w:rPr>
              <m:t>a</m:t>
            </m:r>
            <m:ctrlPr>
              <w:rPr>
                <w:rFonts w:ascii="Cambria Math" w:hAnsi="Cambria Math"/>
                <w:i/>
              </w:rPr>
            </m:ctrlPr>
          </m:sub>
        </m:sSub>
      </m:oMath>
      <w:r>
        <w:t>——</w:t>
      </w:r>
      <w:r>
        <w:rPr>
          <w:rFonts w:hint="eastAsia"/>
        </w:rPr>
        <w:t>单桩竖向抗压承载力特征值(kN)；</w:t>
      </w:r>
    </w:p>
    <w:p>
      <w:pPr>
        <w:ind w:firstLine="720" w:firstLineChars="300"/>
      </w:pPr>
      <m:oMath>
        <m:sSub>
          <m:sSubPr>
            <m:ctrlPr>
              <w:rPr>
                <w:rFonts w:ascii="Cambria Math" w:hAnsi="Cambria Math"/>
                <w:i/>
              </w:rPr>
            </m:ctrlPr>
          </m:sSubPr>
          <m:e>
            <m:r>
              <m:rPr/>
              <w:rPr>
                <w:rFonts w:ascii="Cambria Math"/>
              </w:rPr>
              <m:t>f</m:t>
            </m:r>
            <m:ctrlPr>
              <w:rPr>
                <w:rFonts w:ascii="Cambria Math" w:hAnsi="Cambria Math"/>
                <w:i/>
              </w:rPr>
            </m:ctrlPr>
          </m:e>
          <m:sub>
            <m:r>
              <m:rPr>
                <m:nor/>
                <m:sty m:val="p"/>
              </m:rPr>
              <w:rPr>
                <w:rFonts w:ascii="Cambria Math"/>
                <w:b w:val="0"/>
                <w:i w:val="0"/>
              </w:rPr>
              <m:t>sk</m:t>
            </m:r>
            <m:ctrlPr>
              <w:rPr>
                <w:rFonts w:ascii="Cambria Math" w:hAnsi="Cambria Math"/>
              </w:rPr>
            </m:ctrlPr>
          </m:sub>
        </m:sSub>
      </m:oMath>
      <w:r>
        <w:t>——</w:t>
      </w:r>
      <w:r>
        <w:rPr>
          <w:rFonts w:hint="eastAsia"/>
        </w:rPr>
        <w:t>加固后桩间土地基承载力特征值(kPa)，</w:t>
      </w:r>
      <w:r>
        <w:rPr>
          <w:rFonts w:ascii="宋体" w:hAnsi="宋体" w:cs="宋体"/>
          <w:szCs w:val="24"/>
        </w:rPr>
        <w:t>应按静载荷试验确定</w:t>
      </w:r>
      <w:r>
        <w:rPr>
          <w:rFonts w:hint="eastAsia" w:ascii="宋体" w:hAnsi="宋体" w:cs="宋体"/>
          <w:szCs w:val="24"/>
        </w:rPr>
        <w:t>，</w:t>
      </w:r>
      <w:r>
        <w:rPr>
          <w:rFonts w:ascii="宋体" w:hAnsi="宋体" w:cs="宋体"/>
          <w:szCs w:val="24"/>
        </w:rPr>
        <w:t>无试验资料时</w:t>
      </w:r>
      <w:r>
        <w:rPr>
          <w:rFonts w:hint="eastAsia"/>
        </w:rPr>
        <w:t>宜按当地经验取值或</w:t>
      </w:r>
      <w:r>
        <w:rPr>
          <w:rFonts w:ascii="宋体" w:hAnsi="宋体" w:cs="宋体"/>
          <w:szCs w:val="24"/>
        </w:rPr>
        <w:t>可取天然地基承载力特征值</w:t>
      </w:r>
      <w:r>
        <w:rPr>
          <w:rFonts w:hint="eastAsia"/>
        </w:rPr>
        <w:t>；</w:t>
      </w:r>
    </w:p>
    <w:p>
      <w:pPr>
        <w:ind w:firstLine="720" w:firstLineChars="300"/>
      </w:pPr>
      <m:oMath>
        <m:r>
          <m:rPr/>
          <w:rPr>
            <w:rFonts w:ascii="Cambria Math"/>
          </w:rPr>
          <m:t>m</m:t>
        </m:r>
      </m:oMath>
      <w:r>
        <w:t>——</w:t>
      </w:r>
      <w:r>
        <w:rPr>
          <w:rFonts w:hint="eastAsia"/>
        </w:rPr>
        <w:t>复合地基面积置换率；</w:t>
      </w:r>
    </w:p>
    <w:p>
      <w:pPr>
        <w:ind w:firstLine="720" w:firstLineChars="300"/>
      </w:pPr>
      <m:oMath>
        <m:r>
          <m:rPr/>
          <w:rPr>
            <w:rFonts w:ascii="Cambria Math"/>
          </w:rPr>
          <m:t>d</m:t>
        </m:r>
      </m:oMath>
      <w:r>
        <w:t>——</w:t>
      </w:r>
      <w:r>
        <w:rPr>
          <w:rFonts w:hint="eastAsia"/>
        </w:rPr>
        <w:t>桩体直径(m)；</w:t>
      </w:r>
    </w:p>
    <w:p>
      <w:pPr>
        <w:ind w:firstLine="720" w:firstLineChars="300"/>
      </w:pPr>
      <m:oMath>
        <m:sSub>
          <m:sSubPr>
            <m:ctrlPr>
              <w:rPr>
                <w:rFonts w:ascii="Cambria Math" w:hAnsi="Cambria Math"/>
                <w:i/>
              </w:rPr>
            </m:ctrlPr>
          </m:sSubPr>
          <m:e>
            <m:r>
              <m:rPr/>
              <w:rPr>
                <w:rFonts w:ascii="Cambria Math"/>
              </w:rPr>
              <m:t>d</m:t>
            </m:r>
            <m:ctrlPr>
              <w:rPr>
                <w:rFonts w:ascii="Cambria Math" w:hAnsi="Cambria Math"/>
                <w:i/>
              </w:rPr>
            </m:ctrlPr>
          </m:e>
          <m:sub>
            <m:r>
              <m:rPr/>
              <w:rPr>
                <w:rFonts w:ascii="Cambria Math"/>
              </w:rPr>
              <m:t>e</m:t>
            </m:r>
            <m:ctrlPr>
              <w:rPr>
                <w:rFonts w:ascii="Cambria Math" w:hAnsi="Cambria Math"/>
                <w:i/>
              </w:rPr>
            </m:ctrlPr>
          </m:sub>
        </m:sSub>
      </m:oMath>
      <w:r>
        <w:t>——</w:t>
      </w:r>
      <w:r>
        <w:rPr>
          <w:rFonts w:hint="eastAsia"/>
        </w:rPr>
        <w:t>单根桩分担的地基处理面积的等效圆直径(m)，正三角形布桩：</w:t>
      </w:r>
      <m:oMath>
        <m:sSub>
          <m:sSubPr>
            <m:ctrlPr>
              <w:rPr>
                <w:rFonts w:ascii="Cambria Math" w:hAnsi="Cambria Math"/>
                <w:i/>
              </w:rPr>
            </m:ctrlPr>
          </m:sSubPr>
          <m:e>
            <m:r>
              <m:rPr/>
              <w:rPr>
                <w:rFonts w:ascii="Cambria Math" w:hAnsi="Cambria Math"/>
              </w:rPr>
              <m:t>d</m:t>
            </m:r>
            <m:ctrlPr>
              <w:rPr>
                <w:rFonts w:ascii="Cambria Math" w:hAnsi="Cambria Math"/>
                <w:i/>
              </w:rPr>
            </m:ctrlPr>
          </m:e>
          <m:sub>
            <m:r>
              <m:rPr/>
              <w:rPr>
                <w:rFonts w:ascii="Cambria Math" w:hAnsi="Cambria Math"/>
              </w:rPr>
              <m:t>e</m:t>
            </m:r>
            <m:ctrlPr>
              <w:rPr>
                <w:rFonts w:ascii="Cambria Math" w:hAnsi="Cambria Math"/>
                <w:i/>
              </w:rPr>
            </m:ctrlPr>
          </m:sub>
        </m:sSub>
      </m:oMath>
      <w:r>
        <w:rPr>
          <w:rFonts w:hint="eastAsia"/>
        </w:rPr>
        <w:t>=1.05s，正方形布桩：</w:t>
      </w:r>
      <m:oMath>
        <m:sSub>
          <m:sSubPr>
            <m:ctrlPr>
              <w:rPr>
                <w:rFonts w:ascii="Cambria Math" w:hAnsi="Cambria Math"/>
                <w:i/>
              </w:rPr>
            </m:ctrlPr>
          </m:sSubPr>
          <m:e>
            <m:r>
              <m:rPr/>
              <w:rPr>
                <w:rFonts w:ascii="Cambria Math"/>
              </w:rPr>
              <m:t>d</m:t>
            </m:r>
            <m:ctrlPr>
              <w:rPr>
                <w:rFonts w:ascii="Cambria Math" w:hAnsi="Cambria Math"/>
                <w:i/>
              </w:rPr>
            </m:ctrlPr>
          </m:e>
          <m:sub>
            <m:r>
              <m:rPr/>
              <w:rPr>
                <w:rFonts w:ascii="Cambria Math"/>
              </w:rPr>
              <m:t>e</m:t>
            </m:r>
            <m:ctrlPr>
              <w:rPr>
                <w:rFonts w:ascii="Cambria Math" w:hAnsi="Cambria Math"/>
                <w:i/>
              </w:rPr>
            </m:ctrlPr>
          </m:sub>
        </m:sSub>
      </m:oMath>
      <w:r>
        <w:rPr>
          <w:rFonts w:hint="eastAsia"/>
        </w:rPr>
        <w:t>=1.13s，s为桩间距；</w:t>
      </w:r>
    </w:p>
    <w:p>
      <w:pPr>
        <w:ind w:firstLine="720" w:firstLineChars="300"/>
        <w:rPr>
          <w:b/>
          <w:bCs/>
        </w:rPr>
      </w:pPr>
      <m:oMath>
        <m:sSub>
          <m:sSubPr>
            <m:ctrlPr>
              <w:rPr>
                <w:rFonts w:ascii="Cambria Math" w:hAnsi="Cambria Math"/>
                <w:i/>
              </w:rPr>
            </m:ctrlPr>
          </m:sSubPr>
          <m:e>
            <m:r>
              <m:rPr/>
              <w:rPr>
                <w:rFonts w:ascii="Cambria Math"/>
              </w:rPr>
              <m:t>β</m:t>
            </m:r>
            <m:ctrlPr>
              <w:rPr>
                <w:rFonts w:ascii="Cambria Math" w:hAnsi="Cambria Math"/>
                <w:i/>
              </w:rPr>
            </m:ctrlPr>
          </m:e>
          <m:sub>
            <m:r>
              <m:rPr/>
              <w:rPr>
                <w:rFonts w:ascii="Cambria Math"/>
              </w:rPr>
              <m:t>p</m:t>
            </m:r>
            <m:ctrlPr>
              <w:rPr>
                <w:rFonts w:ascii="Cambria Math" w:hAnsi="Cambria Math"/>
                <w:i/>
              </w:rPr>
            </m:ctrlPr>
          </m:sub>
        </m:sSub>
      </m:oMath>
      <w:r>
        <w:t>——</w:t>
      </w:r>
      <w:r>
        <w:rPr>
          <w:rFonts w:hint="eastAsia"/>
        </w:rPr>
        <w:t>桩体竖向抗压承载力修正系数，宜综合复合地基中桩体实际竖向抗压承载力和复合地基破坏时桩体的竖向抗压承载力发挥度，结合工程经验取值，无地区经验时建议取0.8~1.0，桩身强度高时取大值；</w:t>
      </w:r>
    </w:p>
    <w:p>
      <w:pPr>
        <w:ind w:firstLine="720" w:firstLineChars="300"/>
      </w:pPr>
      <m:oMath>
        <m:sSub>
          <m:sSubPr>
            <m:ctrlPr>
              <w:rPr>
                <w:rFonts w:ascii="Cambria Math" w:hAnsi="Cambria Math"/>
                <w:i/>
              </w:rPr>
            </m:ctrlPr>
          </m:sSubPr>
          <m:e>
            <m:r>
              <m:rPr/>
              <w:rPr>
                <w:rFonts w:ascii="Cambria Math"/>
              </w:rPr>
              <m:t>β</m:t>
            </m:r>
            <m:ctrlPr>
              <w:rPr>
                <w:rFonts w:ascii="Cambria Math" w:hAnsi="Cambria Math"/>
                <w:i/>
              </w:rPr>
            </m:ctrlPr>
          </m:e>
          <m:sub>
            <m:r>
              <m:rPr/>
              <w:rPr>
                <w:rFonts w:ascii="Cambria Math"/>
              </w:rPr>
              <m:t>s</m:t>
            </m:r>
            <m:ctrlPr>
              <w:rPr>
                <w:rFonts w:ascii="Cambria Math" w:hAnsi="Cambria Math"/>
                <w:i/>
              </w:rPr>
            </m:ctrlPr>
          </m:sub>
        </m:sSub>
      </m:oMath>
      <w:r>
        <w:t>——</w:t>
      </w:r>
      <w:r>
        <w:rPr>
          <w:rFonts w:hint="eastAsia"/>
        </w:rPr>
        <w:t>桩间土地基承载力修正系数，宜综合成桩施工工艺、钢渣混凝土桩后期微膨胀及复合地基中桩间土地基实际承载力和复合地基破坏时桩间土地基承载力发挥度等影响，结合工程经验取值。无地区经验时可取值：挤土成桩1.0；非挤土成桩0.8~1.0，天然地基承载力较高时取大值。</w:t>
      </w:r>
    </w:p>
    <w:p>
      <w:pPr>
        <w:ind w:firstLine="0" w:firstLineChars="0"/>
      </w:pPr>
      <w:r>
        <w:rPr>
          <w:rFonts w:hint="eastAsia"/>
        </w:rPr>
        <w:t>6.3.2  单桩的竖向抗压承载力特征值</w:t>
      </w:r>
      <m:oMath>
        <m:sSub>
          <m:sSubPr>
            <m:ctrlPr>
              <w:rPr>
                <w:rFonts w:ascii="Cambria Math" w:hAnsi="Cambria Math"/>
                <w:i/>
              </w:rPr>
            </m:ctrlPr>
          </m:sSubPr>
          <m:e>
            <m:r>
              <m:rPr/>
              <w:rPr>
                <w:rFonts w:ascii="Cambria Math"/>
              </w:rPr>
              <m:t>R</m:t>
            </m:r>
            <m:ctrlPr>
              <w:rPr>
                <w:rFonts w:ascii="Cambria Math" w:hAnsi="Cambria Math"/>
                <w:i/>
              </w:rPr>
            </m:ctrlPr>
          </m:e>
          <m:sub>
            <m:r>
              <m:rPr/>
              <w:rPr>
                <w:rFonts w:ascii="Cambria Math"/>
              </w:rPr>
              <m:t>a</m:t>
            </m:r>
            <m:ctrlPr>
              <w:rPr>
                <w:rFonts w:ascii="Cambria Math" w:hAnsi="Cambria Math"/>
                <w:i/>
              </w:rPr>
            </m:ctrlPr>
          </m:sub>
        </m:sSub>
      </m:oMath>
      <w:r>
        <w:rPr>
          <w:rFonts w:hint="eastAsia"/>
        </w:rPr>
        <w:t>应通过单桩竖向抗压载荷试验确定，按单桩极限承载力除以安全系数2取值。初步设计无试验资料</w:t>
      </w:r>
      <w:r>
        <w:rPr>
          <w:rFonts w:hint="eastAsia" w:cs="Times New Roman"/>
        </w:rPr>
        <w:t>时，由桩周土和桩端土的抗力可能提供的单桩竖向抗压承载力特征值按下列公式估算：</w:t>
      </w:r>
    </w:p>
    <w:p>
      <w:pPr>
        <w:spacing w:line="240" w:lineRule="auto"/>
        <w:ind w:firstLine="0" w:firstLineChars="0"/>
        <w:jc w:val="right"/>
      </w:pPr>
      <w:r>
        <w:rPr>
          <w:position w:val="-15"/>
        </w:rPr>
        <w:object>
          <v:shape id="_x0000_i1044" o:spt="75" type="#_x0000_t75" style="height:21.5pt;width:140pt;" o:ole="t" filled="f" o:preferrelative="t" stroked="f" coordsize="21600,21600">
            <v:path/>
            <v:fill on="f" focussize="0,0"/>
            <v:stroke on="f" joinstyle="miter"/>
            <v:imagedata r:id="rId61" o:title=""/>
            <o:lock v:ext="edit" aspectratio="t"/>
            <w10:wrap type="none"/>
            <w10:anchorlock/>
          </v:shape>
          <o:OLEObject Type="Embed" ProgID="Equation.AxMath" ShapeID="_x0000_i1044" DrawAspect="Content" ObjectID="_1468075744" r:id="rId60">
            <o:LockedField>false</o:LockedField>
          </o:OLEObject>
        </w:object>
      </w:r>
      <w:r>
        <w:rPr>
          <w:rFonts w:hint="eastAsia"/>
        </w:rPr>
        <w:t xml:space="preserve">                （6.3.2）</w:t>
      </w:r>
    </w:p>
    <w:p>
      <w:pPr>
        <w:ind w:firstLine="0" w:firstLineChars="0"/>
      </w:pPr>
      <w:r>
        <w:rPr>
          <w:rFonts w:hint="eastAsia"/>
        </w:rPr>
        <w:t>式中：</w:t>
      </w:r>
      <m:oMath>
        <m:sSub>
          <m:sSubPr>
            <m:ctrlPr>
              <w:rPr>
                <w:rFonts w:ascii="Cambria Math" w:hAnsi="Cambria Math"/>
                <w:i/>
              </w:rPr>
            </m:ctrlPr>
          </m:sSubPr>
          <m:e>
            <m:r>
              <m:rPr/>
              <w:rPr>
                <w:rFonts w:ascii="Cambria Math"/>
              </w:rPr>
              <m:t>u</m:t>
            </m:r>
            <m:ctrlPr>
              <w:rPr>
                <w:rFonts w:ascii="Cambria Math" w:hAnsi="Cambria Math"/>
                <w:i/>
              </w:rPr>
            </m:ctrlPr>
          </m:e>
          <m:sub>
            <m:r>
              <m:rPr/>
              <w:rPr>
                <w:rFonts w:ascii="Cambria Math"/>
              </w:rPr>
              <m:t>p</m:t>
            </m:r>
            <m:ctrlPr>
              <w:rPr>
                <w:rFonts w:ascii="Cambria Math" w:hAnsi="Cambria Math"/>
                <w:i/>
              </w:rPr>
            </m:ctrlPr>
          </m:sub>
        </m:sSub>
      </m:oMath>
      <w:r>
        <w:t>——</w:t>
      </w:r>
      <w:r>
        <w:rPr>
          <w:rFonts w:hint="eastAsia"/>
        </w:rPr>
        <w:t>桩的截面周长(m)；</w:t>
      </w:r>
    </w:p>
    <w:p>
      <w:pPr>
        <w:ind w:firstLine="720" w:firstLineChars="300"/>
      </w:pPr>
      <m:oMath>
        <m:r>
          <m:rPr/>
          <w:rPr>
            <w:rFonts w:ascii="Cambria Math"/>
          </w:rPr>
          <m:t>n</m:t>
        </m:r>
      </m:oMath>
      <w:r>
        <w:t>——</w:t>
      </w:r>
      <w:r>
        <w:rPr>
          <w:rFonts w:hint="eastAsia"/>
        </w:rPr>
        <w:t>桩长范围内所划分的土层数；</w:t>
      </w:r>
    </w:p>
    <w:p>
      <w:pPr>
        <w:ind w:firstLine="720" w:firstLineChars="300"/>
      </w:pPr>
      <m:oMath>
        <m:sSub>
          <m:sSubPr>
            <m:ctrlPr>
              <w:rPr>
                <w:rFonts w:ascii="Cambria Math" w:hAnsi="Cambria Math"/>
                <w:i/>
              </w:rPr>
            </m:ctrlPr>
          </m:sSubPr>
          <m:e>
            <m:r>
              <m:rPr/>
              <w:rPr>
                <w:rFonts w:ascii="Cambria Math"/>
              </w:rPr>
              <m:t>l</m:t>
            </m:r>
            <m:ctrlPr>
              <w:rPr>
                <w:rFonts w:ascii="Cambria Math" w:hAnsi="Cambria Math"/>
                <w:i/>
              </w:rPr>
            </m:ctrlPr>
          </m:e>
          <m:sub>
            <m:r>
              <m:rPr/>
              <w:rPr>
                <w:rFonts w:ascii="Cambria Math"/>
              </w:rPr>
              <m:t>i</m:t>
            </m:r>
            <m:ctrlPr>
              <w:rPr>
                <w:rFonts w:ascii="Cambria Math" w:hAnsi="Cambria Math"/>
                <w:i/>
              </w:rPr>
            </m:ctrlPr>
          </m:sub>
        </m:sSub>
      </m:oMath>
      <w:r>
        <w:t>——</w:t>
      </w:r>
      <w:r>
        <w:rPr>
          <w:rFonts w:hint="eastAsia"/>
        </w:rPr>
        <w:t>桩长范围内第i层土的厚度(m)；</w:t>
      </w:r>
    </w:p>
    <w:p>
      <w:pPr>
        <w:ind w:firstLine="720" w:firstLineChars="300"/>
      </w:pPr>
      <m:oMath>
        <m:r>
          <m:rPr/>
          <w:rPr>
            <w:rFonts w:ascii="Cambria Math"/>
          </w:rPr>
          <m:t>α</m:t>
        </m:r>
      </m:oMath>
      <w:r>
        <w:t>——</w:t>
      </w:r>
      <w:r>
        <w:rPr>
          <w:rFonts w:hint="eastAsia"/>
        </w:rPr>
        <w:t>桩端土地基承载力折减系数，结合工程经验取值，无地区经验时建议取值0.9~1.0；</w:t>
      </w:r>
    </w:p>
    <w:p>
      <w:pPr>
        <w:ind w:firstLine="720" w:firstLineChars="300"/>
      </w:pPr>
      <m:oMath>
        <m:sSub>
          <m:sSubPr>
            <m:ctrlPr>
              <w:rPr>
                <w:rFonts w:ascii="Cambria Math" w:hAnsi="Cambria Math"/>
                <w:i/>
              </w:rPr>
            </m:ctrlPr>
          </m:sSubPr>
          <m:e>
            <m:r>
              <m:rPr/>
              <w:rPr>
                <w:rFonts w:ascii="Cambria Math"/>
              </w:rPr>
              <m:t>q</m:t>
            </m:r>
            <m:ctrlPr>
              <w:rPr>
                <w:rFonts w:ascii="Cambria Math" w:hAnsi="Cambria Math"/>
                <w:i/>
              </w:rPr>
            </m:ctrlPr>
          </m:e>
          <m:sub>
            <m:r>
              <m:rPr/>
              <w:rPr>
                <w:rFonts w:ascii="Cambria Math"/>
              </w:rPr>
              <m:t>si</m:t>
            </m:r>
            <m:ctrlPr>
              <w:rPr>
                <w:rFonts w:ascii="Cambria Math" w:hAnsi="Cambria Math"/>
                <w:i/>
              </w:rPr>
            </m:ctrlPr>
          </m:sub>
        </m:sSub>
      </m:oMath>
      <w:r>
        <w:t>——</w:t>
      </w:r>
      <w:r>
        <w:rPr>
          <w:rFonts w:hint="eastAsia"/>
        </w:rPr>
        <w:t>第i层土的桩侧摩阻力特征值(kPa)，，可按现行国家标准《建筑地基基础设计规范》GB50007有关规定取值；</w:t>
      </w:r>
    </w:p>
    <w:p>
      <w:pPr>
        <w:ind w:firstLine="720" w:firstLineChars="300"/>
      </w:pPr>
      <m:oMath>
        <m:sSub>
          <m:sSubPr>
            <m:ctrlPr>
              <w:rPr>
                <w:rFonts w:ascii="Cambria Math" w:hAnsi="Cambria Math" w:cs="Cambria Math"/>
                <w:i/>
              </w:rPr>
            </m:ctrlPr>
          </m:sSubPr>
          <m:e>
            <m:r>
              <m:rPr/>
              <w:rPr>
                <w:rFonts w:ascii="Cambria Math" w:hAnsi="Cambria Math" w:cs="Cambria Math"/>
              </w:rPr>
              <m:t>q</m:t>
            </m:r>
            <m:ctrlPr>
              <w:rPr>
                <w:rFonts w:ascii="Cambria Math" w:hAnsi="Cambria Math" w:cs="Cambria Math"/>
                <w:i/>
              </w:rPr>
            </m:ctrlPr>
          </m:e>
          <m:sub>
            <m:r>
              <m:rPr/>
              <w:rPr>
                <w:rFonts w:ascii="Cambria Math" w:hAnsi="Cambria Math" w:cs="Cambria Math"/>
              </w:rPr>
              <m:t>p</m:t>
            </m:r>
            <m:ctrlPr>
              <w:rPr>
                <w:rFonts w:ascii="Cambria Math" w:hAnsi="Cambria Math" w:cs="Cambria Math"/>
                <w:i/>
              </w:rPr>
            </m:ctrlPr>
          </m:sub>
        </m:sSub>
      </m:oMath>
      <w:r>
        <w:t>——</w:t>
      </w:r>
      <w:r>
        <w:rPr>
          <w:rFonts w:hint="eastAsia"/>
        </w:rPr>
        <w:t>桩端端阻力特征值(kPa)，可按现行国家标准《建筑地基基础设计规范》GB50007有关规定取值。</w:t>
      </w:r>
    </w:p>
    <w:p>
      <w:pPr>
        <w:ind w:firstLine="0" w:firstLineChars="0"/>
      </w:pPr>
      <w:r>
        <w:rPr>
          <w:rFonts w:hint="eastAsia"/>
        </w:rPr>
        <w:t>6.3.3  钢渣混凝土桩体试块抗压强度平均值应满足下式要求：</w:t>
      </w:r>
    </w:p>
    <w:p>
      <w:pPr>
        <w:spacing w:line="240" w:lineRule="auto"/>
        <w:ind w:firstLine="0" w:firstLineChars="0"/>
        <w:jc w:val="right"/>
        <w:rPr>
          <w:rFonts w:hAnsi="Cambria Math"/>
        </w:rPr>
      </w:pPr>
      <w:r>
        <w:rPr>
          <w:rFonts w:hAnsi="Cambria Math"/>
          <w:position w:val="-26"/>
        </w:rPr>
        <w:object>
          <v:shape id="_x0000_i1045" o:spt="75" type="#_x0000_t75" style="height:31pt;width:57.5pt;" o:ole="t" filled="f" o:preferrelative="t" stroked="f" coordsize="21600,21600">
            <v:path/>
            <v:fill on="f" focussize="0,0"/>
            <v:stroke on="f" joinstyle="miter"/>
            <v:imagedata r:id="rId63" o:title=""/>
            <o:lock v:ext="edit" aspectratio="t"/>
            <w10:wrap type="none"/>
            <w10:anchorlock/>
          </v:shape>
          <o:OLEObject Type="Embed" ProgID="Equation.AxMath" ShapeID="_x0000_i1045" DrawAspect="Content" ObjectID="_1468075745" r:id="rId62">
            <o:LockedField>false</o:LockedField>
          </o:OLEObject>
        </w:object>
      </w:r>
      <w:r>
        <w:rPr>
          <w:rFonts w:hint="eastAsia" w:hAnsi="Cambria Math"/>
        </w:rPr>
        <w:t xml:space="preserve">                     （6.3.3-1）</w:t>
      </w:r>
    </w:p>
    <w:p>
      <w:pPr>
        <w:ind w:firstLine="0" w:firstLineChars="0"/>
        <w:rPr>
          <w:rFonts w:hAnsi="Cambria Math"/>
        </w:rPr>
      </w:pPr>
      <w:r>
        <w:rPr>
          <w:rFonts w:hint="eastAsia"/>
        </w:rPr>
        <w:t>式中：</w:t>
      </w:r>
      <m:oMath>
        <m:sSub>
          <m:sSubPr>
            <m:ctrlPr>
              <w:rPr>
                <w:rFonts w:ascii="Cambria Math" w:hAnsi="Cambria Math"/>
                <w:i/>
              </w:rPr>
            </m:ctrlPr>
          </m:sSubPr>
          <m:e>
            <m:r>
              <m:rPr/>
              <w:rPr>
                <w:rFonts w:ascii="Cambria Math" w:hAnsi="Cambria Math"/>
              </w:rPr>
              <m:t>f</m:t>
            </m:r>
            <m:ctrlPr>
              <w:rPr>
                <w:rFonts w:ascii="Cambria Math" w:hAnsi="Cambria Math"/>
                <w:i/>
              </w:rPr>
            </m:ctrlPr>
          </m:e>
          <m:sub>
            <m:r>
              <m:rPr/>
              <w:rPr>
                <w:rFonts w:ascii="Cambria Math" w:hAnsi="Cambria Math"/>
              </w:rPr>
              <m:t>cu</m:t>
            </m:r>
            <m:ctrlPr>
              <w:rPr>
                <w:rFonts w:ascii="Cambria Math" w:hAnsi="Cambria Math"/>
                <w:i/>
              </w:rPr>
            </m:ctrlPr>
          </m:sub>
        </m:sSub>
      </m:oMath>
      <w:r>
        <w:t>——</w:t>
      </w:r>
      <w:r>
        <w:rPr>
          <w:rFonts w:hint="eastAsia"/>
        </w:rPr>
        <w:t>桩体混合料试块（边长150mm立方体）标准养护28d立方体抗压强度平均值(kPa)。</w:t>
      </w:r>
    </w:p>
    <w:p>
      <w:pPr>
        <w:ind w:firstLine="480"/>
        <w:rPr>
          <w:rFonts w:cs="Times New Roman"/>
        </w:rPr>
      </w:pPr>
      <w:r>
        <w:rPr>
          <w:rFonts w:hint="eastAsia" w:cs="Times New Roman"/>
        </w:rPr>
        <w:t>当承载力验算考虑基础埋深的深度修正时钢渣混凝土桩增强体桩身强度还应满足下式规定：</w:t>
      </w:r>
    </w:p>
    <w:p>
      <w:pPr>
        <w:spacing w:line="240" w:lineRule="auto"/>
        <w:ind w:firstLine="0" w:firstLineChars="0"/>
        <w:jc w:val="right"/>
      </w:pPr>
      <w:r>
        <w:rPr>
          <w:rFonts w:hint="eastAsia" w:ascii="宋体" w:hAnsi="宋体" w:cs="宋体"/>
          <w:position w:val="-26"/>
          <w:szCs w:val="24"/>
        </w:rPr>
        <w:object>
          <v:shape id="_x0000_i1046" o:spt="75" type="#_x0000_t75" style="height:31pt;width:152.5pt;" o:ole="t" filled="f" o:preferrelative="t" stroked="f" coordsize="21600,21600">
            <v:path/>
            <v:fill on="f" focussize="0,0"/>
            <v:stroke on="f" joinstyle="miter"/>
            <v:imagedata r:id="rId65" o:title=""/>
            <o:lock v:ext="edit" aspectratio="t"/>
            <w10:wrap type="none"/>
            <w10:anchorlock/>
          </v:shape>
          <o:OLEObject Type="Embed" ProgID="Equation.AxMath" ShapeID="_x0000_i1046" DrawAspect="Content" ObjectID="_1468075746" r:id="rId64">
            <o:LockedField>false</o:LockedField>
          </o:OLEObject>
        </w:object>
      </w:r>
      <w:r>
        <w:rPr>
          <w:rFonts w:hint="eastAsia" w:ascii="宋体" w:hAnsi="宋体" w:cs="宋体"/>
          <w:sz w:val="21"/>
        </w:rPr>
        <w:t xml:space="preserve">    </w:t>
      </w:r>
      <w:r>
        <w:rPr>
          <w:rFonts w:hint="eastAsia" w:hAnsi="Cambria Math"/>
        </w:rPr>
        <w:t xml:space="preserve">        （6.3.3-2）</w:t>
      </w:r>
    </w:p>
    <w:p>
      <w:pPr>
        <w:ind w:firstLine="0" w:firstLineChars="0"/>
      </w:pPr>
      <w:r>
        <w:rPr>
          <w:rFonts w:hint="eastAsia" w:cs="Times New Roman"/>
        </w:rPr>
        <w:t>式中：</w:t>
      </w:r>
      <w:r>
        <w:rPr>
          <w:i/>
          <w:iCs/>
        </w:rPr>
        <w:t>D</w:t>
      </w:r>
      <w:r>
        <w:t>——基础埋置深度（m），在填方整平地区，可自填土地面标高算起，但填土在上部结构施工完成后进行时，应从天然地面标高算起</w:t>
      </w:r>
      <w:r>
        <w:rPr>
          <w:rFonts w:hint="eastAsia"/>
        </w:rPr>
        <w:t>；</w:t>
      </w:r>
    </w:p>
    <w:p>
      <w:pPr>
        <w:ind w:firstLine="480"/>
      </w:pPr>
      <w:r>
        <w:rPr>
          <w:i/>
          <w:iCs/>
        </w:rPr>
        <w:t>γ</w:t>
      </w:r>
      <w:r>
        <w:rPr>
          <w:vertAlign w:val="subscript"/>
        </w:rPr>
        <w:t>m</w:t>
      </w:r>
      <w:r>
        <w:t>——基础底面以上土的加权平均重度（kN/m</w:t>
      </w:r>
      <w:r>
        <w:rPr>
          <w:vertAlign w:val="superscript"/>
        </w:rPr>
        <w:t>3</w:t>
      </w:r>
      <w:r>
        <w:t>），地下水位以下取浮重度。</w:t>
      </w:r>
    </w:p>
    <w:p>
      <w:pPr>
        <w:ind w:firstLine="0" w:firstLineChars="0"/>
      </w:pPr>
      <w:r>
        <w:rPr>
          <w:rFonts w:hint="eastAsia"/>
        </w:rPr>
        <w:t>6.3.4  钢渣混凝土桩</w:t>
      </w:r>
      <w:r>
        <w:t>复合地基</w:t>
      </w:r>
      <w:r>
        <w:rPr>
          <w:rFonts w:hint="eastAsia"/>
        </w:rPr>
        <w:t>桩端面6d</w:t>
      </w:r>
      <w:r>
        <w:t>（</w:t>
      </w:r>
      <w:r>
        <w:rPr>
          <w:rFonts w:hint="eastAsia"/>
        </w:rPr>
        <w:t>d桩身直径，桩端扩大头时为扩大头直径</w:t>
      </w:r>
      <w:r>
        <w:t>）范围以下</w:t>
      </w:r>
      <w:r>
        <w:rPr>
          <w:rFonts w:hint="eastAsia"/>
        </w:rPr>
        <w:t>，</w:t>
      </w:r>
      <w:r>
        <w:t>存在</w:t>
      </w:r>
      <w:r>
        <w:rPr>
          <w:rFonts w:hint="eastAsia"/>
        </w:rPr>
        <w:t>土压缩模量小于上层土压缩模量1/3的</w:t>
      </w:r>
      <w:r>
        <w:t>软弱下卧层时，下卧层承载力应按下式验算：</w:t>
      </w:r>
    </w:p>
    <w:p>
      <w:pPr>
        <w:spacing w:line="240" w:lineRule="auto"/>
        <w:ind w:firstLine="0" w:firstLineChars="0"/>
        <w:jc w:val="right"/>
      </w:pPr>
      <w:r>
        <w:rPr>
          <w:position w:val="-11"/>
        </w:rPr>
        <w:object>
          <v:shape id="_x0000_i1047" o:spt="75" type="#_x0000_t75" style="height:16pt;width:73pt;" o:ole="t" filled="f" o:preferrelative="t" stroked="f" coordsize="21600,21600">
            <v:path/>
            <v:fill on="f" focussize="0,0"/>
            <v:stroke on="f" joinstyle="miter"/>
            <v:imagedata r:id="rId67" o:title=""/>
            <o:lock v:ext="edit" aspectratio="t"/>
            <w10:wrap type="none"/>
            <w10:anchorlock/>
          </v:shape>
          <o:OLEObject Type="Embed" ProgID="Equation.AxMath" ShapeID="_x0000_i1047" DrawAspect="Content" ObjectID="_1468075747" r:id="rId66">
            <o:LockedField>false</o:LockedField>
          </o:OLEObject>
        </w:object>
      </w:r>
      <w:r>
        <w:rPr>
          <w:rFonts w:hint="eastAsia"/>
        </w:rPr>
        <w:t xml:space="preserve">                    </w:t>
      </w:r>
      <w:r>
        <w:t xml:space="preserve"> （</w:t>
      </w:r>
      <w:r>
        <w:rPr>
          <w:rFonts w:hint="eastAsia"/>
        </w:rPr>
        <w:t>6.3.4</w:t>
      </w:r>
      <w:r>
        <w:t>）</w:t>
      </w:r>
    </w:p>
    <w:p>
      <w:pPr>
        <w:ind w:firstLine="0" w:firstLineChars="0"/>
      </w:pPr>
      <w:r>
        <w:t>式中：</w:t>
      </w:r>
      <w:r>
        <w:rPr>
          <w:i/>
          <w:iCs/>
        </w:rPr>
        <w:t>p</w:t>
      </w:r>
      <w:r>
        <w:rPr>
          <w:vertAlign w:val="subscript"/>
        </w:rPr>
        <w:t>z</w:t>
      </w:r>
      <w:r>
        <w:t>——荷载效应标准组合时，软弱下卧层顶面处的附加压力值（kPa）</w:t>
      </w:r>
      <w:r>
        <w:rPr>
          <w:rFonts w:hint="eastAsia"/>
        </w:rPr>
        <w:t>；</w:t>
      </w:r>
    </w:p>
    <w:p>
      <w:pPr>
        <w:ind w:firstLine="720" w:firstLineChars="300"/>
      </w:pPr>
      <w:r>
        <w:rPr>
          <w:i/>
          <w:iCs/>
        </w:rPr>
        <w:t>p</w:t>
      </w:r>
      <w:r>
        <w:rPr>
          <w:vertAlign w:val="subscript"/>
        </w:rPr>
        <w:t>cz</w:t>
      </w:r>
      <w:r>
        <w:t>——软弱下卧层顶面处地基土的自重压力值（kPa）；</w:t>
      </w:r>
    </w:p>
    <w:p>
      <w:pPr>
        <w:ind w:firstLine="720" w:firstLineChars="300"/>
      </w:pPr>
      <w:r>
        <w:rPr>
          <w:i/>
          <w:iCs/>
        </w:rPr>
        <w:t>f</w:t>
      </w:r>
      <w:r>
        <w:rPr>
          <w:vertAlign w:val="subscript"/>
        </w:rPr>
        <w:t>az</w:t>
      </w:r>
      <w:r>
        <w:t>——软弱下卧层顶面处经深度修正后的地基承载力特征值（kPa）。</w:t>
      </w:r>
    </w:p>
    <w:p>
      <w:pPr>
        <w:ind w:firstLine="0" w:firstLineChars="0"/>
      </w:pPr>
      <w:r>
        <w:rPr>
          <w:rFonts w:hint="eastAsia"/>
        </w:rPr>
        <w:t>6.3.5  钢渣混凝土桩</w:t>
      </w:r>
      <w:r>
        <w:t>复合地基承载力的基础宽度承载力修正系数应取0；基础埋深的承载力修正系数应取</w:t>
      </w:r>
      <w:r>
        <w:rPr>
          <w:rFonts w:hint="eastAsia"/>
        </w:rPr>
        <w:t>1.0</w:t>
      </w:r>
      <w:r>
        <w:t>。修正后的复合地基承载力特征值应按下式计算：</w:t>
      </w:r>
    </w:p>
    <w:p>
      <w:pPr>
        <w:spacing w:line="240" w:lineRule="auto"/>
        <w:ind w:firstLine="0" w:firstLineChars="0"/>
        <w:jc w:val="right"/>
      </w:pPr>
      <w:r>
        <w:rPr>
          <w:rFonts w:hAnsi="Cambria Math"/>
          <w:position w:val="-11"/>
          <w:szCs w:val="24"/>
        </w:rPr>
        <w:object>
          <v:shape id="_x0000_i1048" o:spt="75" type="#_x0000_t75" style="height:16pt;width:126.5pt;" o:ole="t" filled="f" o:preferrelative="t" stroked="f" coordsize="21600,21600">
            <v:path/>
            <v:fill on="f" focussize="0,0"/>
            <v:stroke on="f" joinstyle="miter"/>
            <v:imagedata r:id="rId69" o:title=""/>
            <o:lock v:ext="edit" aspectratio="t"/>
            <w10:wrap type="none"/>
            <w10:anchorlock/>
          </v:shape>
          <o:OLEObject Type="Embed" ProgID="Equation.AxMath" ShapeID="_x0000_i1048" DrawAspect="Content" ObjectID="_1468075748" r:id="rId68">
            <o:LockedField>false</o:LockedField>
          </o:OLEObject>
        </w:object>
      </w:r>
      <w:r>
        <w:rPr>
          <w:rFonts w:hint="eastAsia" w:hAnsi="Cambria Math"/>
          <w:szCs w:val="24"/>
        </w:rPr>
        <w:t xml:space="preserve">           </w:t>
      </w:r>
      <w:r>
        <w:rPr>
          <w:rFonts w:hint="eastAsia"/>
        </w:rPr>
        <w:t xml:space="preserve">   </w:t>
      </w:r>
      <w:r>
        <w:t xml:space="preserve"> （</w:t>
      </w:r>
      <w:r>
        <w:rPr>
          <w:rFonts w:hint="eastAsia"/>
        </w:rPr>
        <w:t>6.3.5</w:t>
      </w:r>
      <w:r>
        <w:t>）</w:t>
      </w:r>
    </w:p>
    <w:p>
      <w:pPr>
        <w:ind w:firstLine="0" w:firstLineChars="0"/>
      </w:pPr>
      <w:r>
        <w:t>式中：</w:t>
      </w:r>
      <w:r>
        <w:rPr>
          <w:i/>
          <w:iCs/>
        </w:rPr>
        <w:t>f</w:t>
      </w:r>
      <w:r>
        <w:rPr>
          <w:rFonts w:hint="eastAsia"/>
          <w:vertAlign w:val="subscript"/>
        </w:rPr>
        <w:t>a</w:t>
      </w:r>
      <w:r>
        <w:t>——</w:t>
      </w:r>
      <w:r>
        <w:rPr>
          <w:rFonts w:hint="eastAsia"/>
        </w:rPr>
        <w:t>经深度修正后的</w:t>
      </w:r>
      <w:r>
        <w:t>复合地基承载力特征值（kPa）</w:t>
      </w:r>
      <w:r>
        <w:rPr>
          <w:rFonts w:hint="eastAsia"/>
        </w:rPr>
        <w:t>；</w:t>
      </w:r>
    </w:p>
    <w:p>
      <w:pPr>
        <w:ind w:firstLine="720" w:firstLineChars="300"/>
        <w:rPr>
          <w:rFonts w:hAnsi="Cambria Math"/>
        </w:rPr>
      </w:pPr>
      <w:r>
        <w:rPr>
          <w:rFonts w:eastAsia="微软雅黑" w:cs="Times New Roman"/>
        </w:rPr>
        <w:t>γ</w:t>
      </w:r>
      <w:r>
        <w:rPr>
          <w:rFonts w:hint="eastAsia"/>
          <w:vertAlign w:val="subscript"/>
        </w:rPr>
        <w:t>m</w:t>
      </w:r>
      <w:r>
        <w:t>——</w:t>
      </w:r>
      <w:r>
        <w:rPr>
          <w:rFonts w:hint="eastAsia"/>
        </w:rPr>
        <w:t>基础埋深以上地基土的加权平均重度</w:t>
      </w:r>
      <w:r>
        <w:t>（k</w:t>
      </w:r>
      <w:r>
        <w:rPr>
          <w:rFonts w:hint="eastAsia"/>
        </w:rPr>
        <w:t>N/m</w:t>
      </w:r>
      <w:r>
        <w:rPr>
          <w:rFonts w:hint="eastAsia"/>
          <w:vertAlign w:val="superscript"/>
        </w:rPr>
        <w:t>3</w:t>
      </w:r>
      <w:r>
        <w:t>）。</w:t>
      </w:r>
    </w:p>
    <w:p>
      <w:pPr>
        <w:ind w:firstLine="0" w:firstLineChars="0"/>
      </w:pPr>
      <w:r>
        <w:rPr>
          <w:rFonts w:hint="eastAsia"/>
        </w:rPr>
        <w:t>6</w:t>
      </w:r>
      <w:r>
        <w:t xml:space="preserve">.3.6  </w:t>
      </w:r>
      <w:r>
        <w:rPr>
          <w:rFonts w:hint="eastAsia"/>
        </w:rPr>
        <w:t>对软弱土场地，软土的触变性和固结效应影响钢渣混凝土桩复合地基承载力。其影响通过引入修正系数进行调整，修正公式如下：</w:t>
      </w:r>
    </w:p>
    <w:p>
      <w:pPr>
        <w:pStyle w:val="57"/>
        <w:ind w:firstLine="480"/>
        <w:rPr>
          <w:color w:val="auto"/>
        </w:rPr>
      </w:pPr>
      <w:r>
        <w:rPr>
          <w:color w:val="auto"/>
          <w:position w:val="-11"/>
        </w:rPr>
        <w:object>
          <v:shape id="_x0000_i1049" o:spt="75" type="#_x0000_t75" style="height:17.5pt;width:209pt;" o:ole="t" filled="f" o:preferrelative="t" stroked="f" coordsize="21600,21600">
            <v:path/>
            <v:fill on="f" focussize="0,0"/>
            <v:stroke on="f" joinstyle="miter"/>
            <v:imagedata r:id="rId71" o:title=""/>
            <o:lock v:ext="edit" aspectratio="t"/>
            <w10:wrap type="none"/>
            <w10:anchorlock/>
          </v:shape>
          <o:OLEObject Type="Embed" ProgID="Equation.AxMath" ShapeID="_x0000_i1049" DrawAspect="Content" ObjectID="_1468075749" r:id="rId70">
            <o:LockedField>false</o:LockedField>
          </o:OLEObject>
        </w:object>
      </w:r>
      <w:r>
        <w:rPr>
          <w:color w:val="auto"/>
        </w:rPr>
        <w:t xml:space="preserve">  </w:t>
      </w:r>
      <w:r>
        <w:rPr>
          <w:rFonts w:hint="eastAsia"/>
          <w:color w:val="auto"/>
        </w:rPr>
        <w:t xml:space="preserve"> </w:t>
      </w:r>
      <w:r>
        <w:rPr>
          <w:color w:val="auto"/>
        </w:rPr>
        <w:t xml:space="preserve"> </w:t>
      </w:r>
      <w:r>
        <w:rPr>
          <w:rFonts w:hint="eastAsia"/>
          <w:color w:val="auto"/>
        </w:rPr>
        <w:t xml:space="preserve">  </w:t>
      </w:r>
      <w:r>
        <w:rPr>
          <w:color w:val="auto"/>
        </w:rPr>
        <w:t xml:space="preserve"> </w:t>
      </w:r>
      <w:r>
        <w:rPr>
          <w:rFonts w:hint="eastAsia"/>
          <w:color w:val="auto"/>
        </w:rPr>
        <w:t xml:space="preserve"> </w:t>
      </w:r>
      <w:r>
        <w:rPr>
          <w:color w:val="auto"/>
        </w:rPr>
        <w:t xml:space="preserve"> </w:t>
      </w:r>
      <w:r>
        <w:rPr>
          <w:rFonts w:hint="eastAsia"/>
          <w:color w:val="auto"/>
        </w:rPr>
        <w:t>（6</w:t>
      </w:r>
      <w:r>
        <w:rPr>
          <w:color w:val="auto"/>
        </w:rPr>
        <w:t>.3.6</w:t>
      </w:r>
      <w:r>
        <w:rPr>
          <w:rFonts w:hint="eastAsia"/>
          <w:color w:val="auto"/>
        </w:rPr>
        <w:t>）</w:t>
      </w:r>
    </w:p>
    <w:p>
      <w:pPr>
        <w:ind w:firstLine="0" w:firstLineChars="0"/>
      </w:pPr>
      <w:r>
        <w:rPr>
          <w:rFonts w:hint="eastAsia"/>
        </w:rPr>
        <w:t>式中：</w:t>
      </w:r>
      <m:oMath>
        <m:sSub>
          <m:sSubPr>
            <m:ctrlPr>
              <w:rPr>
                <w:rFonts w:ascii="Cambria Math" w:hAnsi="Cambria Math"/>
                <w:i/>
              </w:rPr>
            </m:ctrlPr>
          </m:sSubPr>
          <m:e>
            <m:r>
              <m:rPr/>
              <w:rPr>
                <w:rFonts w:ascii="Cambria Math"/>
              </w:rPr>
              <m:t>α</m:t>
            </m:r>
            <m:ctrlPr>
              <w:rPr>
                <w:rFonts w:ascii="Cambria Math" w:hAnsi="Cambria Math"/>
                <w:i/>
              </w:rPr>
            </m:ctrlPr>
          </m:e>
          <m:sub>
            <m:r>
              <m:rPr/>
              <w:rPr>
                <w:rFonts w:ascii="Cambria Math"/>
              </w:rPr>
              <m:t>t</m:t>
            </m:r>
            <m:ctrlPr>
              <w:rPr>
                <w:rFonts w:ascii="Cambria Math" w:hAnsi="Cambria Math"/>
                <w:i/>
              </w:rPr>
            </m:ctrlPr>
          </m:sub>
        </m:sSub>
      </m:oMath>
      <w:r>
        <w:rPr>
          <w:rFonts w:hint="eastAsia"/>
        </w:rPr>
        <w:t>——触变性修正系数，通常根据土层深度和水位变化等因素确定，在钢渣混凝土桩中取值应大于</w:t>
      </w:r>
      <w:r>
        <w:t>1</w:t>
      </w:r>
      <w:r>
        <w:rPr>
          <w:rFonts w:hint="eastAsia"/>
        </w:rPr>
        <w:t>；</w:t>
      </w:r>
    </w:p>
    <w:p>
      <w:pPr>
        <w:ind w:firstLine="720" w:firstLineChars="300"/>
      </w:pPr>
      <m:oMath>
        <m:sSub>
          <m:sSubPr>
            <m:ctrlPr>
              <w:rPr>
                <w:rFonts w:ascii="Cambria Math" w:hAnsi="Cambria Math"/>
                <w:i/>
              </w:rPr>
            </m:ctrlPr>
          </m:sSubPr>
          <m:e>
            <m:r>
              <m:rPr/>
              <w:rPr>
                <w:rFonts w:ascii="Cambria Math"/>
              </w:rPr>
              <m:t>α</m:t>
            </m:r>
            <m:ctrlPr>
              <w:rPr>
                <w:rFonts w:ascii="Cambria Math" w:hAnsi="Cambria Math"/>
                <w:i/>
              </w:rPr>
            </m:ctrlPr>
          </m:e>
          <m:sub>
            <m:r>
              <m:rPr/>
              <w:rPr>
                <w:rFonts w:ascii="Cambria Math"/>
              </w:rPr>
              <m:t>s</m:t>
            </m:r>
            <m:ctrlPr>
              <w:rPr>
                <w:rFonts w:ascii="Cambria Math" w:hAnsi="Cambria Math"/>
                <w:i/>
              </w:rPr>
            </m:ctrlPr>
          </m:sub>
        </m:sSub>
      </m:oMath>
      <w:r>
        <w:rPr>
          <w:rFonts w:hint="eastAsia"/>
        </w:rPr>
        <w:t>——固结效应修正系数，通常依据土体的压缩性和固结时间等因素进行调整，在钢渣混凝土桩中取值应小于</w:t>
      </w:r>
      <w:r>
        <w:t>1</w:t>
      </w:r>
      <w:r>
        <w:rPr>
          <w:rFonts w:hint="eastAsia"/>
        </w:rPr>
        <w:t>。</w:t>
      </w:r>
    </w:p>
    <w:p>
      <w:pPr>
        <w:pStyle w:val="3"/>
      </w:pPr>
      <w:bookmarkStart w:id="127" w:name="_Toc213271648"/>
      <w:bookmarkStart w:id="128" w:name="_Toc213690073"/>
      <w:bookmarkStart w:id="129" w:name="_Toc213662948"/>
      <w:bookmarkStart w:id="130" w:name="_Toc213663142"/>
      <w:bookmarkStart w:id="131" w:name="_Toc213257658"/>
      <w:bookmarkStart w:id="132" w:name="_Toc213773544"/>
      <w:r>
        <w:rPr>
          <w:rFonts w:hint="eastAsia"/>
        </w:rPr>
        <w:t>6.4  变形</w:t>
      </w:r>
      <w:r>
        <w:t>计算</w:t>
      </w:r>
      <w:bookmarkEnd w:id="127"/>
      <w:bookmarkEnd w:id="128"/>
      <w:bookmarkEnd w:id="129"/>
      <w:bookmarkEnd w:id="130"/>
      <w:bookmarkEnd w:id="131"/>
      <w:bookmarkEnd w:id="132"/>
    </w:p>
    <w:p>
      <w:pPr>
        <w:ind w:firstLine="0" w:firstLineChars="0"/>
      </w:pPr>
      <w:r>
        <w:rPr>
          <w:rFonts w:hint="eastAsia"/>
        </w:rPr>
        <w:t>6</w:t>
      </w:r>
      <w:r>
        <w:t>.</w:t>
      </w:r>
      <w:r>
        <w:rPr>
          <w:rFonts w:hint="eastAsia"/>
        </w:rPr>
        <w:t>4</w:t>
      </w:r>
      <w:r>
        <w:t>.1</w:t>
      </w:r>
      <w:r>
        <w:rPr>
          <w:rFonts w:hint="eastAsia"/>
        </w:rPr>
        <w:t xml:space="preserve"> </w:t>
      </w:r>
      <w:r>
        <w:t xml:space="preserve"> 钢渣混凝土桩复合地基的沉降</w:t>
      </w:r>
      <w:r>
        <w:rPr>
          <w:rFonts w:hint="eastAsia"/>
        </w:rPr>
        <w:t>变形</w:t>
      </w:r>
      <w:r>
        <w:t>计算可采用沉降分层总和法，钢渣混凝土桩</w:t>
      </w:r>
      <w:r>
        <w:rPr>
          <w:rFonts w:hint="eastAsia"/>
        </w:rPr>
        <w:t>复合地基的沉降由垫层压缩变形量、加固区复合土层压缩变形量(s</w:t>
      </w:r>
      <w:r>
        <w:rPr>
          <w:rFonts w:hint="eastAsia"/>
          <w:vertAlign w:val="subscript"/>
        </w:rPr>
        <w:t>1</w:t>
      </w:r>
      <w:r>
        <w:rPr>
          <w:rFonts w:hint="eastAsia"/>
        </w:rPr>
        <w:t>)和加固区下卧土层压缩变形量(s</w:t>
      </w:r>
      <w:r>
        <w:rPr>
          <w:rFonts w:hint="eastAsia"/>
          <w:vertAlign w:val="subscript"/>
        </w:rPr>
        <w:t>2</w:t>
      </w:r>
      <w:r>
        <w:rPr>
          <w:rFonts w:hint="eastAsia"/>
        </w:rPr>
        <w:t>)组成。当垫层压缩变形量小，且在施工期已基本完成时,可忽略不计。复合地基沉降可按下式计算</w:t>
      </w:r>
    </w:p>
    <w:p>
      <w:pPr>
        <w:spacing w:line="240" w:lineRule="auto"/>
        <w:ind w:firstLine="0" w:firstLineChars="0"/>
        <w:jc w:val="right"/>
      </w:pPr>
      <w:r>
        <w:rPr>
          <w:position w:val="-11"/>
        </w:rPr>
        <w:object>
          <v:shape id="_x0000_i1050" o:spt="75" type="#_x0000_t75" style="height:16pt;width:54.5pt;" o:ole="t" filled="f" o:preferrelative="t" stroked="f" coordsize="21600,21600">
            <v:path/>
            <v:fill on="f" focussize="0,0"/>
            <v:stroke on="f" joinstyle="miter"/>
            <v:imagedata r:id="rId73" o:title=""/>
            <o:lock v:ext="edit" aspectratio="t"/>
            <w10:wrap type="none"/>
            <w10:anchorlock/>
          </v:shape>
          <o:OLEObject Type="Embed" ProgID="Equation.AxMath" ShapeID="_x0000_i1050" DrawAspect="Content" ObjectID="_1468075750" r:id="rId72">
            <o:LockedField>false</o:LockedField>
          </o:OLEObject>
        </w:object>
      </w:r>
      <w:r>
        <w:rPr>
          <w:rFonts w:hint="eastAsia"/>
        </w:rPr>
        <w:t xml:space="preserve">                      </w:t>
      </w:r>
      <w:r>
        <w:t>（</w:t>
      </w:r>
      <w:r>
        <w:rPr>
          <w:rFonts w:hint="eastAsia"/>
        </w:rPr>
        <w:t>6.4.1</w:t>
      </w:r>
      <w:r>
        <w:t>）</w:t>
      </w:r>
    </w:p>
    <w:p>
      <w:pPr>
        <w:ind w:firstLine="0" w:firstLineChars="0"/>
        <w:rPr>
          <w:rFonts w:cs="Times New Roman"/>
        </w:rPr>
      </w:pPr>
      <w:r>
        <w:rPr>
          <w:rFonts w:hint="eastAsia" w:cs="Times New Roman"/>
        </w:rPr>
        <w:t>式中：</w:t>
      </w:r>
      <w:r>
        <w:rPr>
          <w:rFonts w:hint="eastAsia" w:cs="Times New Roman"/>
          <w:i/>
          <w:iCs/>
        </w:rPr>
        <w:t>s</w:t>
      </w:r>
      <w:r>
        <w:rPr>
          <w:rFonts w:cs="Times New Roman"/>
        </w:rPr>
        <w:t>——</w:t>
      </w:r>
      <w:r>
        <w:rPr>
          <w:rFonts w:hint="eastAsia" w:cs="Times New Roman"/>
        </w:rPr>
        <w:t>复合地基总沉降变形量(mm)；</w:t>
      </w:r>
    </w:p>
    <w:p>
      <w:pPr>
        <w:ind w:firstLine="720" w:firstLineChars="300"/>
        <w:rPr>
          <w:rFonts w:cs="Times New Roman"/>
        </w:rPr>
      </w:pPr>
      <w:r>
        <w:rPr>
          <w:rFonts w:hint="eastAsia" w:cs="Times New Roman"/>
          <w:i/>
          <w:iCs/>
        </w:rPr>
        <w:t>s</w:t>
      </w:r>
      <w:r>
        <w:rPr>
          <w:rFonts w:hint="eastAsia" w:cs="Times New Roman"/>
          <w:vertAlign w:val="subscript"/>
        </w:rPr>
        <w:t>1</w:t>
      </w:r>
      <w:r>
        <w:rPr>
          <w:rFonts w:cs="Times New Roman"/>
        </w:rPr>
        <w:t>——</w:t>
      </w:r>
      <w:r>
        <w:rPr>
          <w:rFonts w:hint="eastAsia" w:cs="Times New Roman"/>
        </w:rPr>
        <w:t>复合地基</w:t>
      </w:r>
      <w:r>
        <w:rPr>
          <w:rFonts w:hint="eastAsia"/>
        </w:rPr>
        <w:t>加固区</w:t>
      </w:r>
      <w:r>
        <w:rPr>
          <w:rFonts w:hint="eastAsia" w:cs="Times New Roman"/>
        </w:rPr>
        <w:t>压缩沉降变形量(mm)；</w:t>
      </w:r>
    </w:p>
    <w:p>
      <w:pPr>
        <w:ind w:firstLine="720" w:firstLineChars="300"/>
        <w:rPr>
          <w:rFonts w:cs="Times New Roman"/>
        </w:rPr>
      </w:pPr>
      <w:r>
        <w:rPr>
          <w:rFonts w:hint="eastAsia" w:cs="Times New Roman"/>
          <w:i/>
          <w:iCs/>
        </w:rPr>
        <w:t>s</w:t>
      </w:r>
      <w:r>
        <w:rPr>
          <w:rFonts w:hint="eastAsia" w:cs="Times New Roman"/>
          <w:vertAlign w:val="subscript"/>
        </w:rPr>
        <w:t>2</w:t>
      </w:r>
      <w:r>
        <w:rPr>
          <w:rFonts w:cs="Times New Roman"/>
        </w:rPr>
        <w:t>——</w:t>
      </w:r>
      <w:r>
        <w:rPr>
          <w:rFonts w:hint="eastAsia" w:cs="Times New Roman"/>
        </w:rPr>
        <w:t>复合地基</w:t>
      </w:r>
      <w:r>
        <w:rPr>
          <w:rFonts w:hint="eastAsia"/>
        </w:rPr>
        <w:t>加固区下卧</w:t>
      </w:r>
      <w:r>
        <w:rPr>
          <w:rFonts w:hint="eastAsia" w:cs="Times New Roman"/>
        </w:rPr>
        <w:t>土层压缩沉降变形量(mm)。</w:t>
      </w:r>
    </w:p>
    <w:p>
      <w:pPr>
        <w:ind w:firstLine="0" w:firstLineChars="0"/>
      </w:pPr>
      <w:r>
        <w:rPr>
          <w:rFonts w:hint="eastAsia"/>
        </w:rPr>
        <w:t>6</w:t>
      </w:r>
      <w:r>
        <w:t>.</w:t>
      </w:r>
      <w:r>
        <w:rPr>
          <w:rFonts w:hint="eastAsia"/>
        </w:rPr>
        <w:t>4</w:t>
      </w:r>
      <w:r>
        <w:t>.</w:t>
      </w:r>
      <w:r>
        <w:rPr>
          <w:rFonts w:hint="eastAsia"/>
        </w:rPr>
        <w:t>2  加固区复合土层压缩变形量(</w:t>
      </w:r>
      <w:r>
        <w:rPr>
          <w:rFonts w:hint="eastAsia"/>
          <w:i/>
          <w:iCs/>
        </w:rPr>
        <w:t>s</w:t>
      </w:r>
      <w:r>
        <w:rPr>
          <w:rFonts w:hint="eastAsia"/>
          <w:vertAlign w:val="subscript"/>
        </w:rPr>
        <w:t>1</w:t>
      </w:r>
      <w:r>
        <w:rPr>
          <w:rFonts w:hint="eastAsia"/>
        </w:rPr>
        <w:t>)可按采用现行行业标准《建筑地基处理技术规范》JGJ</w:t>
      </w:r>
      <w:r>
        <w:t xml:space="preserve"> 79</w:t>
      </w:r>
      <w:r>
        <w:rPr>
          <w:rFonts w:hint="eastAsia"/>
        </w:rPr>
        <w:t>中方法，采用等效模量计算沉降变形，按下列公式计算：</w:t>
      </w:r>
    </w:p>
    <w:p>
      <w:pPr>
        <w:spacing w:line="240" w:lineRule="auto"/>
        <w:ind w:firstLine="0" w:firstLineChars="0"/>
        <w:jc w:val="right"/>
      </w:pPr>
      <w:r>
        <w:rPr>
          <w:position w:val="-26"/>
        </w:rPr>
        <w:object>
          <v:shape id="_x0000_i1051" o:spt="75" type="#_x0000_t75" style="height:31pt;width:98.5pt;" o:ole="t" filled="f" o:preferrelative="t" stroked="f" coordsize="21600,21600">
            <v:path/>
            <v:fill on="f" focussize="0,0"/>
            <v:stroke on="f" joinstyle="miter"/>
            <v:imagedata r:id="rId75" o:title=""/>
            <o:lock v:ext="edit" aspectratio="t"/>
            <w10:wrap type="none"/>
            <w10:anchorlock/>
          </v:shape>
          <o:OLEObject Type="Embed" ProgID="Equation.AxMath" ShapeID="_x0000_i1051" DrawAspect="Content" ObjectID="_1468075751" r:id="rId74">
            <o:LockedField>false</o:LockedField>
          </o:OLEObject>
        </w:object>
      </w:r>
      <w:r>
        <w:rPr>
          <w:rFonts w:hint="eastAsia"/>
        </w:rPr>
        <w:t xml:space="preserve">                  </w:t>
      </w:r>
      <w:r>
        <w:t>（</w:t>
      </w:r>
      <w:r>
        <w:rPr>
          <w:rFonts w:hint="eastAsia"/>
        </w:rPr>
        <w:t>6.4.2-1</w:t>
      </w:r>
      <w:r>
        <w:t>）</w:t>
      </w:r>
    </w:p>
    <w:p>
      <w:pPr>
        <w:pStyle w:val="57"/>
        <w:ind w:firstLine="480"/>
        <w:rPr>
          <w:color w:val="auto"/>
        </w:rPr>
      </w:pPr>
      <w:r>
        <w:rPr>
          <w:color w:val="auto"/>
        </w:rPr>
        <w:tab/>
      </w:r>
      <w:r>
        <w:rPr>
          <w:color w:val="auto"/>
          <w:position w:val="-11"/>
        </w:rPr>
        <w:object>
          <v:shape id="_x0000_i1052" o:spt="75" type="#_x0000_t75" style="height:16pt;width:54.5pt;" o:ole="t" filled="f" o:preferrelative="t" stroked="f" coordsize="21600,21600">
            <v:path/>
            <v:fill on="f" focussize="0,0"/>
            <v:stroke on="f" joinstyle="miter"/>
            <v:imagedata r:id="rId77" o:title=""/>
            <o:lock v:ext="edit" aspectratio="t"/>
            <w10:wrap type="none"/>
            <w10:anchorlock/>
          </v:shape>
          <o:OLEObject Type="Embed" ProgID="Equation.AxMath" ShapeID="_x0000_i1052" DrawAspect="Content" ObjectID="_1468075752" r:id="rId76">
            <o:LockedField>false</o:LockedField>
          </o:OLEObject>
        </w:object>
      </w:r>
      <w:r>
        <w:rPr>
          <w:rFonts w:hint="eastAsia"/>
          <w:color w:val="auto"/>
        </w:rPr>
        <w:t xml:space="preserve">                     </w:t>
      </w:r>
      <w:r>
        <w:rPr>
          <w:color w:val="auto"/>
        </w:rPr>
        <w:t>（</w:t>
      </w:r>
      <w:r>
        <w:rPr>
          <w:rFonts w:hint="eastAsia"/>
          <w:color w:val="auto"/>
        </w:rPr>
        <w:t>6.4.2-2</w:t>
      </w:r>
      <w:r>
        <w:rPr>
          <w:color w:val="auto"/>
        </w:rPr>
        <w:t>）</w:t>
      </w:r>
    </w:p>
    <w:p>
      <w:pPr>
        <w:spacing w:line="240" w:lineRule="auto"/>
        <w:ind w:firstLine="0" w:firstLineChars="0"/>
        <w:jc w:val="right"/>
      </w:pPr>
      <w:r>
        <w:rPr>
          <w:position w:val="-26"/>
        </w:rPr>
        <w:object>
          <v:shape id="_x0000_i1053" o:spt="75" type="#_x0000_t75" style="height:31pt;width:45.5pt;" o:ole="t" filled="f" o:preferrelative="t" stroked="f" coordsize="21600,21600">
            <v:path/>
            <v:fill on="f" focussize="0,0"/>
            <v:stroke on="f" joinstyle="miter"/>
            <v:imagedata r:id="rId79" o:title=""/>
            <o:lock v:ext="edit" aspectratio="t"/>
            <w10:wrap type="none"/>
            <w10:anchorlock/>
          </v:shape>
          <o:OLEObject Type="Embed" ProgID="Equation.AxMath" ShapeID="_x0000_i1053" DrawAspect="Content" ObjectID="_1468075753" r:id="rId78">
            <o:LockedField>false</o:LockedField>
          </o:OLEObject>
        </w:object>
      </w:r>
      <w:r>
        <w:rPr>
          <w:rFonts w:hint="eastAsia"/>
        </w:rPr>
        <w:t xml:space="preserve">                     </w:t>
      </w:r>
      <w:r>
        <w:t>（</w:t>
      </w:r>
      <w:r>
        <w:rPr>
          <w:rFonts w:hint="eastAsia"/>
        </w:rPr>
        <w:t>6.4.2-3</w:t>
      </w:r>
      <w:r>
        <w:t>）</w:t>
      </w:r>
    </w:p>
    <w:p>
      <w:pPr>
        <w:ind w:firstLine="0" w:firstLineChars="0"/>
      </w:pPr>
      <w:r>
        <w:rPr>
          <w:rFonts w:hint="eastAsia"/>
        </w:rPr>
        <w:t>式中：</w:t>
      </w:r>
      <m:oMath>
        <m:r>
          <m:rPr/>
          <w:rPr>
            <w:rFonts w:ascii="Cambria Math"/>
          </w:rPr>
          <m:t>Δ</m:t>
        </m:r>
        <m:sSub>
          <m:sSubPr>
            <m:ctrlPr>
              <w:rPr>
                <w:rFonts w:ascii="Cambria Math" w:hAnsi="Cambria Math"/>
                <w:i/>
              </w:rPr>
            </m:ctrlPr>
          </m:sSubPr>
          <m:e>
            <m:r>
              <m:rPr/>
              <w:rPr>
                <w:rFonts w:ascii="Cambria Math"/>
              </w:rPr>
              <m:t>p</m:t>
            </m:r>
            <m:ctrlPr>
              <w:rPr>
                <w:rFonts w:ascii="Cambria Math" w:hAnsi="Cambria Math"/>
                <w:i/>
              </w:rPr>
            </m:ctrlPr>
          </m:e>
          <m:sub>
            <m:r>
              <m:rPr/>
              <w:rPr>
                <w:rFonts w:ascii="Cambria Math"/>
              </w:rPr>
              <m:t>i</m:t>
            </m:r>
            <m:ctrlPr>
              <w:rPr>
                <w:rFonts w:ascii="Cambria Math" w:hAnsi="Cambria Math"/>
                <w:i/>
              </w:rPr>
            </m:ctrlPr>
          </m:sub>
        </m:sSub>
      </m:oMath>
      <w:r>
        <w:t>——</w:t>
      </w:r>
      <w:r>
        <w:rPr>
          <w:rFonts w:hint="eastAsia"/>
        </w:rPr>
        <w:t>加固区第i层土的平均附加应力增量(kPa)；</w:t>
      </w:r>
    </w:p>
    <w:p>
      <w:pPr>
        <w:ind w:firstLine="720" w:firstLineChars="300"/>
      </w:pPr>
      <w:r>
        <w:rPr>
          <w:i/>
          <w:iCs/>
        </w:rPr>
        <w:t>ζ</w:t>
      </w:r>
      <w:r>
        <w:t>——</w:t>
      </w:r>
      <w:r>
        <w:rPr>
          <w:rFonts w:hint="eastAsia"/>
        </w:rPr>
        <w:t>加固区内复合地基压缩模量提高系数；</w:t>
      </w:r>
    </w:p>
    <w:p>
      <w:pPr>
        <w:ind w:firstLine="720" w:firstLineChars="300"/>
      </w:pPr>
      <w:r>
        <w:rPr>
          <w:rFonts w:hint="eastAsia"/>
          <w:i/>
          <w:iCs/>
        </w:rPr>
        <w:t>E</w:t>
      </w:r>
      <w:r>
        <w:rPr>
          <w:rFonts w:hint="eastAsia"/>
          <w:i/>
          <w:iCs/>
          <w:vertAlign w:val="subscript"/>
        </w:rPr>
        <w:t>spi</w:t>
      </w:r>
      <w:r>
        <w:t>——</w:t>
      </w:r>
      <w:r>
        <w:rPr>
          <w:rFonts w:hint="eastAsia"/>
        </w:rPr>
        <w:t>基础底面下加固区第i</w:t>
      </w:r>
      <w:r>
        <w:t>复合土层</w:t>
      </w:r>
      <w:r>
        <w:rPr>
          <w:rFonts w:hint="eastAsia"/>
        </w:rPr>
        <w:t>的压缩模量(kPa)；</w:t>
      </w:r>
    </w:p>
    <w:p>
      <w:pPr>
        <w:ind w:firstLine="720" w:firstLineChars="300"/>
      </w:pPr>
      <w:r>
        <w:rPr>
          <w:rFonts w:hint="eastAsia"/>
          <w:i/>
          <w:iCs/>
        </w:rPr>
        <w:t>E</w:t>
      </w:r>
      <w:r>
        <w:rPr>
          <w:rFonts w:hint="eastAsia"/>
          <w:i/>
          <w:iCs/>
          <w:vertAlign w:val="subscript"/>
        </w:rPr>
        <w:t>si</w:t>
      </w:r>
      <w:r>
        <w:t>——</w:t>
      </w:r>
      <w:r>
        <w:rPr>
          <w:rFonts w:hint="eastAsia"/>
        </w:rPr>
        <w:t>基础底面下加固区第i层土的压缩模量(kPa)，应取土的自重压力至自重压力与附加压力之和的压力段计算；</w:t>
      </w:r>
    </w:p>
    <w:p>
      <w:pPr>
        <w:ind w:firstLine="720" w:firstLineChars="300"/>
      </w:pPr>
      <m:oMath>
        <m:sSub>
          <m:sSubPr>
            <m:ctrlPr>
              <w:rPr>
                <w:rFonts w:ascii="Cambria Math" w:hAnsi="Cambria Math"/>
                <w:i/>
              </w:rPr>
            </m:ctrlPr>
          </m:sSubPr>
          <m:e>
            <m:r>
              <m:rPr/>
              <w:rPr>
                <w:rFonts w:ascii="Cambria Math" w:hAnsi="Cambria Math"/>
              </w:rPr>
              <m:t>f</m:t>
            </m:r>
            <m:ctrlPr>
              <w:rPr>
                <w:rFonts w:ascii="Cambria Math" w:hAnsi="Cambria Math"/>
                <w:i/>
              </w:rPr>
            </m:ctrlPr>
          </m:e>
          <m:sub>
            <m:r>
              <m:rPr/>
              <w:rPr>
                <w:rFonts w:ascii="Cambria Math" w:hAnsi="Cambria Math"/>
              </w:rPr>
              <m:t>ak</m:t>
            </m:r>
            <m:ctrlPr>
              <w:rPr>
                <w:rFonts w:ascii="Cambria Math" w:hAnsi="Cambria Math"/>
                <w:i/>
              </w:rPr>
            </m:ctrlPr>
          </m:sub>
        </m:sSub>
      </m:oMath>
      <w:r>
        <w:t>——基础底面下天</w:t>
      </w:r>
      <w:r>
        <w:rPr>
          <w:rFonts w:hint="eastAsia"/>
        </w:rPr>
        <w:t>然</w:t>
      </w:r>
      <w:r>
        <w:t>地基承载力特征值（kPa）</w:t>
      </w:r>
      <w:r>
        <w:rPr>
          <w:rFonts w:hint="eastAsia"/>
        </w:rPr>
        <w:t>；</w:t>
      </w:r>
    </w:p>
    <w:p>
      <w:pPr>
        <w:ind w:firstLine="720" w:firstLineChars="300"/>
      </w:pPr>
      <m:oMath>
        <m:sSub>
          <m:sSubPr>
            <m:ctrlPr>
              <w:rPr>
                <w:rFonts w:ascii="Cambria Math" w:hAnsi="Cambria Math"/>
                <w:i/>
              </w:rPr>
            </m:ctrlPr>
          </m:sSubPr>
          <m:e>
            <m:r>
              <m:rPr/>
              <w:rPr>
                <w:rFonts w:ascii="Cambria Math" w:hAnsi="Cambria Math"/>
              </w:rPr>
              <m:t>ψ</m:t>
            </m:r>
            <m:ctrlPr>
              <w:rPr>
                <w:rFonts w:ascii="Cambria Math" w:hAnsi="Cambria Math"/>
                <w:i/>
              </w:rPr>
            </m:ctrlPr>
          </m:e>
          <m:sub>
            <m:r>
              <m:rPr/>
              <w:rPr>
                <w:rFonts w:ascii="Cambria Math" w:hAnsi="Cambria Math"/>
              </w:rPr>
              <m:t>s</m:t>
            </m:r>
            <m:ctrlPr>
              <w:rPr>
                <w:rFonts w:ascii="Cambria Math" w:hAnsi="Cambria Math"/>
                <w:i/>
              </w:rPr>
            </m:ctrlPr>
          </m:sub>
        </m:sSub>
      </m:oMath>
      <w:r>
        <w:t>——</w:t>
      </w:r>
      <w:r>
        <w:rPr>
          <w:rFonts w:hint="eastAsia"/>
        </w:rPr>
        <w:t>复合地基沉降计算经验系数，</w:t>
      </w:r>
      <w:r>
        <w:t>经验系数应根据地区沉降观测资料统计确定，无经验资料时可采用表</w:t>
      </w:r>
      <w:r>
        <w:rPr>
          <w:rFonts w:hint="eastAsia"/>
        </w:rPr>
        <w:t>6.4.2</w:t>
      </w:r>
      <w:r>
        <w:t>的数值</w:t>
      </w:r>
      <w:r>
        <w:rPr>
          <w:rFonts w:hint="eastAsia"/>
        </w:rPr>
        <w:t>。</w:t>
      </w:r>
    </w:p>
    <w:p>
      <w:pPr>
        <w:ind w:firstLine="480"/>
      </w:pPr>
      <w:r>
        <w:rPr>
          <w:rFonts w:hint="eastAsia"/>
        </w:rPr>
        <w:t>表中：</w:t>
      </w:r>
      <m:oMath>
        <m:sSub>
          <m:sSubPr>
            <m:ctrlPr>
              <w:rPr>
                <w:rFonts w:ascii="Cambria Math" w:hAnsi="Cambria Math"/>
                <w:i/>
              </w:rPr>
            </m:ctrlPr>
          </m:sSubPr>
          <m:e>
            <m:bar>
              <m:barPr>
                <m:pos m:val="top"/>
                <m:ctrlPr>
                  <w:rPr>
                    <w:rFonts w:ascii="Cambria Math" w:hAnsi="Cambria Math"/>
                    <w:i/>
                  </w:rPr>
                </m:ctrlPr>
              </m:barPr>
              <m:e>
                <m:r>
                  <m:rPr/>
                  <w:rPr>
                    <w:rFonts w:ascii="Cambria Math"/>
                  </w:rPr>
                  <m:t>E</m:t>
                </m:r>
                <m:ctrlPr>
                  <w:rPr>
                    <w:rFonts w:ascii="Cambria Math" w:hAnsi="Cambria Math"/>
                    <w:i/>
                  </w:rPr>
                </m:ctrlPr>
              </m:e>
            </m:bar>
            <m:ctrlPr>
              <w:rPr>
                <w:rFonts w:ascii="Cambria Math" w:hAnsi="Cambria Math"/>
                <w:i/>
              </w:rPr>
            </m:ctrlPr>
          </m:e>
          <m:sub>
            <m:r>
              <m:rPr/>
              <w:rPr>
                <w:rFonts w:ascii="Cambria Math"/>
              </w:rPr>
              <m:t>s</m:t>
            </m:r>
            <m:ctrlPr>
              <w:rPr>
                <w:rFonts w:ascii="Cambria Math" w:hAnsi="Cambria Math"/>
                <w:i/>
              </w:rPr>
            </m:ctrlPr>
          </m:sub>
        </m:sSub>
      </m:oMath>
      <w:r>
        <w:t>——变形计算深度范围内压缩模量的</w:t>
      </w:r>
      <w:r>
        <w:rPr>
          <w:rFonts w:hint="eastAsia"/>
        </w:rPr>
        <w:t>加权平均</w:t>
      </w:r>
      <w:r>
        <w:t>值（kPa）</w:t>
      </w:r>
      <w:r>
        <w:rPr>
          <w:rFonts w:hint="eastAsia"/>
        </w:rPr>
        <w:t>，计算深度包括加固区和加固区下部分土层。</w:t>
      </w:r>
    </w:p>
    <w:p>
      <w:pPr>
        <w:pStyle w:val="11"/>
      </w:pPr>
      <w:r>
        <w:t>表</w:t>
      </w:r>
      <w:r>
        <w:rPr>
          <w:rFonts w:hint="eastAsia"/>
        </w:rPr>
        <w:t xml:space="preserve">6.4.2  </w:t>
      </w:r>
      <w:r>
        <w:t>变形计算经验系数</w:t>
      </w:r>
      <m:oMath>
        <m:sSub>
          <m:sSubPr>
            <m:ctrlPr>
              <w:rPr>
                <w:rFonts w:ascii="Cambria Math" w:hAnsi="Cambria Math"/>
              </w:rPr>
            </m:ctrlPr>
          </m:sSubPr>
          <m:e>
            <m:r>
              <m:rPr/>
              <w:rPr>
                <w:rFonts w:ascii="Cambria Math" w:hAnsi="Cambria Math"/>
              </w:rPr>
              <m:t>ψ</m:t>
            </m:r>
            <m:ctrlPr>
              <w:rPr>
                <w:rFonts w:ascii="Cambria Math" w:hAnsi="Cambria Math"/>
              </w:rPr>
            </m:ctrlPr>
          </m:e>
          <m:sub>
            <m:r>
              <m:rPr/>
              <w:rPr>
                <w:rFonts w:ascii="Cambria Math" w:hAnsi="Cambria Math"/>
              </w:rPr>
              <m:t>s</m:t>
            </m:r>
            <m:ctrlPr>
              <w:rPr>
                <w:rFonts w:ascii="Cambria Math" w:hAnsi="Cambria Math"/>
              </w:rPr>
            </m:ctrlPr>
          </m:sub>
        </m:sSub>
      </m:oMath>
    </w:p>
    <w:tbl>
      <w:tblPr>
        <w:tblStyle w:val="24"/>
        <w:tblpPr w:leftFromText="180" w:rightFromText="180" w:vertAnchor="text" w:tblpX="371"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1"/>
        <w:gridCol w:w="1055"/>
        <w:gridCol w:w="1016"/>
        <w:gridCol w:w="1185"/>
        <w:gridCol w:w="1203"/>
        <w:gridCol w:w="1149"/>
        <w:gridCol w:w="1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1" w:hRule="atLeast"/>
        </w:trPr>
        <w:tc>
          <w:tcPr>
            <w:tcW w:w="1004" w:type="pct"/>
            <w:vAlign w:val="center"/>
          </w:tcPr>
          <w:p>
            <w:pPr>
              <w:pStyle w:val="49"/>
            </w:pPr>
            <m:oMath>
              <m:sSub>
                <m:sSubPr>
                  <m:ctrlPr>
                    <w:rPr>
                      <w:rFonts w:ascii="Cambria Math" w:hAnsi="Cambria Math"/>
                      <w:i/>
                    </w:rPr>
                  </m:ctrlPr>
                </m:sSubPr>
                <m:e>
                  <m:bar>
                    <m:barPr>
                      <m:pos m:val="top"/>
                      <m:ctrlPr>
                        <w:rPr>
                          <w:rFonts w:ascii="Cambria Math" w:hAnsi="Cambria Math"/>
                          <w:i/>
                        </w:rPr>
                      </m:ctrlPr>
                    </m:barPr>
                    <m:e>
                      <m:r>
                        <m:rPr/>
                        <w:rPr>
                          <w:rFonts w:ascii="Cambria Math"/>
                        </w:rPr>
                        <m:t>E</m:t>
                      </m:r>
                      <m:ctrlPr>
                        <w:rPr>
                          <w:rFonts w:ascii="Cambria Math" w:hAnsi="Cambria Math"/>
                          <w:i/>
                        </w:rPr>
                      </m:ctrlPr>
                    </m:e>
                  </m:bar>
                  <m:ctrlPr>
                    <w:rPr>
                      <w:rFonts w:ascii="Cambria Math" w:hAnsi="Cambria Math"/>
                      <w:i/>
                    </w:rPr>
                  </m:ctrlPr>
                </m:e>
                <m:sub>
                  <m:r>
                    <m:rPr/>
                    <w:rPr>
                      <w:rFonts w:ascii="Cambria Math"/>
                    </w:rPr>
                    <m:t>s</m:t>
                  </m:r>
                  <m:ctrlPr>
                    <w:rPr>
                      <w:rFonts w:ascii="Cambria Math" w:hAnsi="Cambria Math"/>
                      <w:i/>
                    </w:rPr>
                  </m:ctrlPr>
                </m:sub>
              </m:sSub>
            </m:oMath>
            <w:r>
              <w:rPr>
                <w:rFonts w:hint="eastAsia"/>
              </w:rPr>
              <w:t>（MPa）</w:t>
            </w:r>
          </w:p>
        </w:tc>
        <w:tc>
          <w:tcPr>
            <w:tcW w:w="619" w:type="pct"/>
            <w:vAlign w:val="center"/>
          </w:tcPr>
          <w:p>
            <w:pPr>
              <w:pStyle w:val="49"/>
            </w:pPr>
            <w:r>
              <w:rPr>
                <w:rFonts w:hint="eastAsia"/>
              </w:rPr>
              <w:t>4.0</w:t>
            </w:r>
          </w:p>
        </w:tc>
        <w:tc>
          <w:tcPr>
            <w:tcW w:w="596" w:type="pct"/>
            <w:vAlign w:val="center"/>
          </w:tcPr>
          <w:p>
            <w:pPr>
              <w:pStyle w:val="49"/>
            </w:pPr>
            <w:r>
              <w:rPr>
                <w:rFonts w:hint="eastAsia"/>
              </w:rPr>
              <w:t>7.0</w:t>
            </w:r>
          </w:p>
        </w:tc>
        <w:tc>
          <w:tcPr>
            <w:tcW w:w="695" w:type="pct"/>
            <w:vAlign w:val="center"/>
          </w:tcPr>
          <w:p>
            <w:pPr>
              <w:pStyle w:val="49"/>
            </w:pPr>
            <w:r>
              <w:rPr>
                <w:rFonts w:hint="eastAsia"/>
              </w:rPr>
              <w:t>15.0</w:t>
            </w:r>
          </w:p>
        </w:tc>
        <w:tc>
          <w:tcPr>
            <w:tcW w:w="706" w:type="pct"/>
            <w:vAlign w:val="center"/>
          </w:tcPr>
          <w:p>
            <w:pPr>
              <w:pStyle w:val="49"/>
            </w:pPr>
            <w:r>
              <w:rPr>
                <w:rFonts w:hint="eastAsia"/>
              </w:rPr>
              <w:t>20.0</w:t>
            </w:r>
          </w:p>
        </w:tc>
        <w:tc>
          <w:tcPr>
            <w:tcW w:w="674" w:type="pct"/>
            <w:vAlign w:val="center"/>
          </w:tcPr>
          <w:p>
            <w:pPr>
              <w:pStyle w:val="49"/>
            </w:pPr>
            <w:r>
              <w:rPr>
                <w:rFonts w:hint="eastAsia"/>
              </w:rPr>
              <w:t>35.0</w:t>
            </w:r>
          </w:p>
        </w:tc>
        <w:tc>
          <w:tcPr>
            <w:tcW w:w="707" w:type="pct"/>
            <w:vAlign w:val="center"/>
          </w:tcPr>
          <w:p>
            <w:pPr>
              <w:pStyle w:val="49"/>
            </w:pPr>
            <w:r>
              <w:rPr>
                <w:rFonts w:hint="eastAsia"/>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04" w:type="pct"/>
            <w:vAlign w:val="center"/>
          </w:tcPr>
          <w:p>
            <w:pPr>
              <w:pStyle w:val="49"/>
            </w:pPr>
            <w:r>
              <w:rPr>
                <w:rFonts w:hint="eastAsia"/>
              </w:rPr>
              <w:t>复合地基</w:t>
            </w:r>
          </w:p>
        </w:tc>
        <w:tc>
          <w:tcPr>
            <w:tcW w:w="619" w:type="pct"/>
            <w:vAlign w:val="center"/>
          </w:tcPr>
          <w:p>
            <w:pPr>
              <w:pStyle w:val="49"/>
            </w:pPr>
            <w:r>
              <w:rPr>
                <w:rFonts w:hint="eastAsia"/>
              </w:rPr>
              <w:t>1.0</w:t>
            </w:r>
          </w:p>
        </w:tc>
        <w:tc>
          <w:tcPr>
            <w:tcW w:w="596" w:type="pct"/>
            <w:vAlign w:val="center"/>
          </w:tcPr>
          <w:p>
            <w:pPr>
              <w:pStyle w:val="49"/>
            </w:pPr>
            <w:r>
              <w:rPr>
                <w:rFonts w:hint="eastAsia"/>
              </w:rPr>
              <w:t>0.7</w:t>
            </w:r>
          </w:p>
        </w:tc>
        <w:tc>
          <w:tcPr>
            <w:tcW w:w="695" w:type="pct"/>
            <w:vAlign w:val="center"/>
          </w:tcPr>
          <w:p>
            <w:pPr>
              <w:pStyle w:val="49"/>
            </w:pPr>
            <w:r>
              <w:rPr>
                <w:rFonts w:hint="eastAsia"/>
              </w:rPr>
              <w:t>0.4</w:t>
            </w:r>
          </w:p>
        </w:tc>
        <w:tc>
          <w:tcPr>
            <w:tcW w:w="706" w:type="pct"/>
            <w:vAlign w:val="center"/>
          </w:tcPr>
          <w:p>
            <w:pPr>
              <w:pStyle w:val="49"/>
            </w:pPr>
            <w:r>
              <w:rPr>
                <w:rFonts w:hint="eastAsia"/>
              </w:rPr>
              <w:t>0.25</w:t>
            </w:r>
          </w:p>
        </w:tc>
        <w:tc>
          <w:tcPr>
            <w:tcW w:w="674" w:type="pct"/>
            <w:vAlign w:val="center"/>
          </w:tcPr>
          <w:p>
            <w:pPr>
              <w:pStyle w:val="49"/>
            </w:pPr>
            <w:r>
              <w:rPr>
                <w:rFonts w:hint="eastAsia"/>
              </w:rPr>
              <w:t>0.2</w:t>
            </w:r>
          </w:p>
        </w:tc>
        <w:tc>
          <w:tcPr>
            <w:tcW w:w="707" w:type="pct"/>
            <w:vAlign w:val="center"/>
          </w:tcPr>
          <w:p>
            <w:pPr>
              <w:pStyle w:val="49"/>
            </w:pPr>
            <w:r>
              <w:rPr>
                <w:rFonts w:hint="eastAsia"/>
              </w:rPr>
              <w:t>0.15</w:t>
            </w:r>
          </w:p>
        </w:tc>
      </w:tr>
    </w:tbl>
    <w:p>
      <w:pPr>
        <w:ind w:firstLine="0" w:firstLineChars="0"/>
      </w:pPr>
      <w:r>
        <w:rPr>
          <w:rFonts w:hint="eastAsia"/>
        </w:rPr>
        <w:t>6.4.3  复合地基加固区下卧土层压缩变形量(s</w:t>
      </w:r>
      <w:r>
        <w:rPr>
          <w:rFonts w:hint="eastAsia"/>
          <w:vertAlign w:val="subscript"/>
        </w:rPr>
        <w:t>2</w:t>
      </w:r>
      <w:r>
        <w:rPr>
          <w:rFonts w:hint="eastAsia"/>
        </w:rPr>
        <w:t>)</w:t>
      </w:r>
      <w:r>
        <w:t>计算应符合国家标准《建筑地基基础设计规范》GB 50007的有关规定。</w:t>
      </w:r>
    </w:p>
    <w:p>
      <w:pPr>
        <w:ind w:firstLine="480"/>
      </w:pPr>
      <w:r>
        <w:rPr>
          <w:rFonts w:hint="eastAsia"/>
        </w:rPr>
        <w:t>可按下式计算：</w:t>
      </w:r>
    </w:p>
    <w:p>
      <w:pPr>
        <w:spacing w:line="240" w:lineRule="auto"/>
        <w:ind w:firstLine="480"/>
        <w:jc w:val="right"/>
      </w:pPr>
      <w:r>
        <w:rPr>
          <w:position w:val="-26"/>
        </w:rPr>
        <w:object>
          <v:shape id="_x0000_i1054" o:spt="75" type="#_x0000_t75" style="height:31pt;width:103pt;" o:ole="t" filled="f" o:preferrelative="t" stroked="f" coordsize="21600,21600">
            <v:path/>
            <v:fill on="f" focussize="0,0"/>
            <v:stroke on="f" joinstyle="miter"/>
            <v:imagedata r:id="rId81" o:title=""/>
            <o:lock v:ext="edit" aspectratio="t"/>
            <w10:wrap type="none"/>
            <w10:anchorlock/>
          </v:shape>
          <o:OLEObject Type="Embed" ProgID="Equation.AxMath" ShapeID="_x0000_i1054" DrawAspect="Content" ObjectID="_1468075754" r:id="rId80">
            <o:LockedField>false</o:LockedField>
          </o:OLEObject>
        </w:object>
      </w:r>
      <w:r>
        <w:rPr>
          <w:rFonts w:hint="eastAsia"/>
        </w:rPr>
        <w:t xml:space="preserve">                 </w:t>
      </w:r>
      <w:r>
        <w:t>（</w:t>
      </w:r>
      <w:r>
        <w:rPr>
          <w:rFonts w:hint="eastAsia"/>
        </w:rPr>
        <w:t>6.4.3</w:t>
      </w:r>
      <w:r>
        <w:t>）</w:t>
      </w:r>
    </w:p>
    <w:p>
      <w:pPr>
        <w:ind w:firstLine="0" w:firstLineChars="0"/>
      </w:pPr>
      <w:r>
        <w:rPr>
          <w:rFonts w:hint="eastAsia"/>
        </w:rPr>
        <w:t>式中：</w:t>
      </w:r>
      <w:r>
        <w:rPr>
          <w:rFonts w:hint="eastAsia"/>
          <w:i/>
          <w:iCs/>
        </w:rPr>
        <w:t>m</w:t>
      </w:r>
      <w:r>
        <w:t>——</w:t>
      </w:r>
      <w:r>
        <w:rPr>
          <w:rFonts w:hint="eastAsia"/>
        </w:rPr>
        <w:t>加固区下土层的沉降计算分层数；</w:t>
      </w:r>
    </w:p>
    <w:p>
      <w:pPr>
        <w:ind w:firstLine="720" w:firstLineChars="300"/>
      </w:pPr>
      <w:r>
        <w:rPr>
          <w:rFonts w:hint="eastAsia"/>
        </w:rPr>
        <w:t>Δ</w:t>
      </w:r>
      <w:r>
        <w:rPr>
          <w:rFonts w:hint="eastAsia"/>
          <w:i/>
          <w:iCs/>
        </w:rPr>
        <w:t>p</w:t>
      </w:r>
      <w:r>
        <w:rPr>
          <w:rFonts w:hint="eastAsia"/>
          <w:vertAlign w:val="subscript"/>
        </w:rPr>
        <w:t>j</w:t>
      </w:r>
      <w:r>
        <w:t>——</w:t>
      </w:r>
      <w:r>
        <w:rPr>
          <w:rFonts w:hint="eastAsia"/>
        </w:rPr>
        <w:t>加固区下第j层土的平均附加应力增量(kPa)；</w:t>
      </w:r>
    </w:p>
    <w:p>
      <w:pPr>
        <w:ind w:firstLine="720" w:firstLineChars="300"/>
      </w:pPr>
      <w:r>
        <w:rPr>
          <w:rFonts w:hint="eastAsia"/>
          <w:i/>
          <w:iCs/>
        </w:rPr>
        <w:t>l</w:t>
      </w:r>
      <w:r>
        <w:rPr>
          <w:rFonts w:hint="eastAsia"/>
          <w:i/>
          <w:iCs/>
          <w:vertAlign w:val="subscript"/>
        </w:rPr>
        <w:t>j</w:t>
      </w:r>
      <w:r>
        <w:t>——</w:t>
      </w:r>
      <w:r>
        <w:rPr>
          <w:rFonts w:hint="eastAsia"/>
        </w:rPr>
        <w:t>加固区下第j层土的厚度(mm)；</w:t>
      </w:r>
    </w:p>
    <w:p>
      <w:pPr>
        <w:ind w:firstLine="720" w:firstLineChars="300"/>
      </w:pPr>
      <w:r>
        <w:rPr>
          <w:rFonts w:hint="eastAsia"/>
          <w:i/>
          <w:iCs/>
        </w:rPr>
        <w:t>E</w:t>
      </w:r>
      <w:r>
        <w:rPr>
          <w:rFonts w:hint="eastAsia"/>
          <w:i/>
          <w:iCs/>
          <w:vertAlign w:val="subscript"/>
        </w:rPr>
        <w:t>sj</w:t>
      </w:r>
      <w:r>
        <w:t>——</w:t>
      </w:r>
      <w:r>
        <w:rPr>
          <w:rFonts w:hint="eastAsia"/>
        </w:rPr>
        <w:t>加固区下第j层土的压缩模量(kPa)；</w:t>
      </w:r>
    </w:p>
    <w:p>
      <w:pPr>
        <w:ind w:firstLine="0" w:firstLineChars="0"/>
      </w:pPr>
      <w:r>
        <w:rPr>
          <w:rFonts w:hint="eastAsia"/>
        </w:rPr>
        <w:t>6</w:t>
      </w:r>
      <w:r>
        <w:t>.</w:t>
      </w:r>
      <w:r>
        <w:rPr>
          <w:rFonts w:hint="eastAsia"/>
        </w:rPr>
        <w:t>4</w:t>
      </w:r>
      <w:r>
        <w:t>.</w:t>
      </w:r>
      <w:r>
        <w:rPr>
          <w:rFonts w:hint="eastAsia"/>
        </w:rPr>
        <w:t xml:space="preserve">4  </w:t>
      </w:r>
      <w:r>
        <w:t>变形计算深度范围内压缩模量的</w:t>
      </w:r>
      <w:r>
        <w:rPr>
          <w:rFonts w:hint="eastAsia"/>
        </w:rPr>
        <w:t>加权平均</w:t>
      </w:r>
      <w:r>
        <w:t>值，应按下式计算：</w:t>
      </w:r>
    </w:p>
    <w:p>
      <w:pPr>
        <w:spacing w:line="240" w:lineRule="auto"/>
        <w:ind w:firstLine="480"/>
        <w:jc w:val="right"/>
      </w:pPr>
      <w:r>
        <w:rPr>
          <w:position w:val="-43"/>
        </w:rPr>
        <w:object>
          <v:shape id="_x0000_i1055" o:spt="75" type="#_x0000_t75" style="height:44pt;width:146.5pt;" o:ole="t" filled="f" o:preferrelative="t" stroked="f" coordsize="21600,21600">
            <v:path/>
            <v:fill on="f" focussize="0,0"/>
            <v:stroke on="f" joinstyle="miter"/>
            <v:imagedata r:id="rId83" o:title=""/>
            <o:lock v:ext="edit" aspectratio="t"/>
            <w10:wrap type="none"/>
            <w10:anchorlock/>
          </v:shape>
          <o:OLEObject Type="Embed" ProgID="Equation.AxMath" ShapeID="_x0000_i1055" DrawAspect="Content" ObjectID="_1468075755" r:id="rId82">
            <o:LockedField>false</o:LockedField>
          </o:OLEObject>
        </w:object>
      </w:r>
      <w:r>
        <w:rPr>
          <w:rFonts w:hint="eastAsia"/>
        </w:rPr>
        <w:t xml:space="preserve">                </w:t>
      </w:r>
      <w:r>
        <w:t>（</w:t>
      </w:r>
      <w:r>
        <w:rPr>
          <w:rFonts w:hint="eastAsia"/>
        </w:rPr>
        <w:t>6.4.4</w:t>
      </w:r>
      <w:r>
        <w:t>）</w:t>
      </w:r>
    </w:p>
    <w:p>
      <w:pPr>
        <w:ind w:firstLine="0" w:firstLineChars="0"/>
      </w:pPr>
      <w:r>
        <w:rPr>
          <w:rFonts w:hint="eastAsia"/>
        </w:rPr>
        <w:t>式中：</w:t>
      </w:r>
      <w:r>
        <w:rPr>
          <w:rFonts w:hint="eastAsia"/>
          <w:i/>
          <w:iCs/>
        </w:rPr>
        <w:t>A</w:t>
      </w:r>
      <w:r>
        <w:rPr>
          <w:rFonts w:hint="eastAsia"/>
          <w:i/>
          <w:iCs/>
          <w:vertAlign w:val="subscript"/>
        </w:rPr>
        <w:t>i</w:t>
      </w:r>
      <w:r>
        <w:t>——</w:t>
      </w:r>
      <w:r>
        <w:rPr>
          <w:rFonts w:hint="eastAsia"/>
        </w:rPr>
        <w:t>加固土层第i层土的附加应力系数沿土层厚度的积分值；</w:t>
      </w:r>
    </w:p>
    <w:p>
      <w:pPr>
        <w:ind w:firstLine="720" w:firstLineChars="300"/>
      </w:pPr>
      <w:r>
        <w:rPr>
          <w:i/>
          <w:iCs/>
        </w:rPr>
        <w:t>A</w:t>
      </w:r>
      <w:r>
        <w:rPr>
          <w:vertAlign w:val="subscript"/>
        </w:rPr>
        <w:t>j</w:t>
      </w:r>
      <w:r>
        <w:t>——加固土层下第j层土附加应力系数沿土层厚度的积分值。</w:t>
      </w:r>
    </w:p>
    <w:p>
      <w:pPr>
        <w:ind w:firstLine="720" w:firstLineChars="300"/>
      </w:pPr>
    </w:p>
    <w:p>
      <w:pPr>
        <w:ind w:firstLine="720" w:firstLineChars="300"/>
        <w:sectPr>
          <w:pgSz w:w="11906" w:h="16838"/>
          <w:pgMar w:top="1440" w:right="1800" w:bottom="1440" w:left="1800" w:header="851" w:footer="992" w:gutter="0"/>
          <w:cols w:space="425" w:num="1"/>
          <w:docGrid w:type="lines" w:linePitch="312" w:charSpace="0"/>
        </w:sectPr>
      </w:pPr>
    </w:p>
    <w:bookmarkEnd w:id="108"/>
    <w:p>
      <w:pPr>
        <w:pStyle w:val="2"/>
      </w:pPr>
      <w:bookmarkStart w:id="133" w:name="_Toc213257659"/>
      <w:bookmarkStart w:id="134" w:name="_Toc212480165"/>
      <w:bookmarkStart w:id="135" w:name="_Toc213690074"/>
      <w:bookmarkStart w:id="136" w:name="_Toc213663143"/>
      <w:bookmarkStart w:id="137" w:name="_Toc213662949"/>
      <w:bookmarkStart w:id="138" w:name="_Toc213773545"/>
      <w:bookmarkStart w:id="139" w:name="_Toc213271649"/>
      <w:r>
        <w:rPr>
          <w:rFonts w:hint="eastAsia"/>
        </w:rPr>
        <w:t>7  施工</w:t>
      </w:r>
      <w:bookmarkEnd w:id="133"/>
      <w:bookmarkEnd w:id="134"/>
      <w:bookmarkEnd w:id="135"/>
      <w:bookmarkEnd w:id="136"/>
      <w:bookmarkEnd w:id="137"/>
      <w:bookmarkEnd w:id="138"/>
      <w:bookmarkEnd w:id="139"/>
      <w:r>
        <w:rPr>
          <w:rFonts w:hint="eastAsia"/>
        </w:rPr>
        <w:tab/>
      </w:r>
    </w:p>
    <w:p>
      <w:pPr>
        <w:pStyle w:val="3"/>
      </w:pPr>
      <w:bookmarkStart w:id="140" w:name="_Toc213663144"/>
      <w:bookmarkStart w:id="141" w:name="_Toc213690075"/>
      <w:bookmarkStart w:id="142" w:name="_Toc213773546"/>
      <w:bookmarkStart w:id="143" w:name="_Toc213271650"/>
      <w:bookmarkStart w:id="144" w:name="_Toc212480166"/>
      <w:bookmarkStart w:id="145" w:name="_Toc213662950"/>
      <w:bookmarkStart w:id="146" w:name="_Toc213257660"/>
      <w:r>
        <w:rPr>
          <w:rFonts w:hint="eastAsia"/>
        </w:rPr>
        <w:t>7.1  一般规定</w:t>
      </w:r>
      <w:bookmarkEnd w:id="140"/>
      <w:bookmarkEnd w:id="141"/>
      <w:bookmarkEnd w:id="142"/>
      <w:bookmarkEnd w:id="143"/>
      <w:bookmarkEnd w:id="144"/>
      <w:bookmarkEnd w:id="145"/>
      <w:bookmarkEnd w:id="146"/>
    </w:p>
    <w:p>
      <w:pPr>
        <w:ind w:firstLine="0" w:firstLineChars="0"/>
      </w:pPr>
      <w:r>
        <w:rPr>
          <w:rFonts w:hint="eastAsia"/>
        </w:rPr>
        <w:t>7.1.1  正式施工前，施工工艺应经过现场工程试验验证。</w:t>
      </w:r>
    </w:p>
    <w:p>
      <w:pPr>
        <w:ind w:firstLine="0" w:firstLineChars="0"/>
      </w:pPr>
      <w:r>
        <w:rPr>
          <w:rFonts w:hint="eastAsia"/>
        </w:rPr>
        <w:t>7.1.2  进场材料应具有相应的质量证明文件，并应按规定见证取样、检验。外加剂应具有使用说明书，出厂合格证明材料。</w:t>
      </w:r>
    </w:p>
    <w:p>
      <w:pPr>
        <w:ind w:firstLine="0" w:firstLineChars="0"/>
      </w:pPr>
      <w:r>
        <w:rPr>
          <w:rFonts w:hint="eastAsia"/>
        </w:rPr>
        <w:t>7.1.3  施工单位应根据工程实际辨识危险源和重大危害因素、重要环境因素，并有针对性的制定预防和控制措施。</w:t>
      </w:r>
    </w:p>
    <w:p>
      <w:pPr>
        <w:ind w:firstLine="0" w:firstLineChars="0"/>
      </w:pPr>
      <w:r>
        <w:rPr>
          <w:rFonts w:hint="eastAsia"/>
        </w:rPr>
        <w:t xml:space="preserve">7.1.4  </w:t>
      </w:r>
      <w:r>
        <w:t>冬期施工时，</w:t>
      </w:r>
      <w:r>
        <w:rPr>
          <w:rFonts w:hint="eastAsia"/>
        </w:rPr>
        <w:t>应采取相应的</w:t>
      </w:r>
      <w:r>
        <w:t>措施，混凝土入孔温度不应低于5</w:t>
      </w:r>
      <w:r>
        <w:rPr>
          <w:rFonts w:hint="eastAsia"/>
        </w:rPr>
        <w:t xml:space="preserve"> </w:t>
      </w:r>
      <w:r>
        <w:t>℃</w:t>
      </w:r>
      <w:r>
        <w:rPr>
          <w:rFonts w:hint="eastAsia"/>
        </w:rPr>
        <w:t>。</w:t>
      </w:r>
    </w:p>
    <w:p>
      <w:pPr>
        <w:ind w:firstLine="0" w:firstLineChars="0"/>
      </w:pPr>
      <w:r>
        <w:rPr>
          <w:rFonts w:hint="eastAsia"/>
        </w:rPr>
        <w:t xml:space="preserve">7.1.5  </w:t>
      </w:r>
      <w:r>
        <w:t>混凝土充盈系数应</w:t>
      </w:r>
      <w:r>
        <w:rPr>
          <w:rFonts w:hint="eastAsia"/>
        </w:rPr>
        <w:t>满足设计要求。</w:t>
      </w:r>
    </w:p>
    <w:p>
      <w:pPr>
        <w:ind w:firstLine="0" w:firstLineChars="0"/>
      </w:pPr>
      <w:r>
        <w:rPr>
          <w:rFonts w:hint="eastAsia"/>
        </w:rPr>
        <w:t>7.1.6  成孔施工过程中发现地层与勘察资料不符时，应查明情况，会同设计单位采取有效处理措施。</w:t>
      </w:r>
    </w:p>
    <w:p>
      <w:pPr>
        <w:ind w:firstLine="0" w:firstLineChars="0"/>
      </w:pPr>
      <w:r>
        <w:rPr>
          <w:rFonts w:hint="eastAsia"/>
        </w:rPr>
        <w:t xml:space="preserve">7.1.7  </w:t>
      </w:r>
      <w:r>
        <w:t>成桩过程中，</w:t>
      </w:r>
      <w:r>
        <w:rPr>
          <w:rFonts w:hint="eastAsia"/>
        </w:rPr>
        <w:t>应</w:t>
      </w:r>
      <w:r>
        <w:t>抽样</w:t>
      </w:r>
      <w:r>
        <w:rPr>
          <w:rFonts w:hint="eastAsia"/>
        </w:rPr>
        <w:t>制</w:t>
      </w:r>
      <w:r>
        <w:t>做钢渣混凝土试块，每台机械每台班不</w:t>
      </w:r>
      <w:r>
        <w:rPr>
          <w:rFonts w:hint="eastAsia"/>
        </w:rPr>
        <w:t>宜</w:t>
      </w:r>
      <w:r>
        <w:t>少于1组</w:t>
      </w:r>
      <w:r>
        <w:rPr>
          <w:rFonts w:hint="eastAsia"/>
        </w:rPr>
        <w:t>。</w:t>
      </w:r>
      <w:bookmarkStart w:id="147" w:name="_Toc212480167"/>
      <w:bookmarkStart w:id="148" w:name="_Toc213257661"/>
      <w:bookmarkStart w:id="149" w:name="_Toc213271651"/>
    </w:p>
    <w:p>
      <w:pPr>
        <w:pStyle w:val="3"/>
      </w:pPr>
      <w:bookmarkStart w:id="150" w:name="_Toc213662951"/>
      <w:bookmarkStart w:id="151" w:name="_Toc213690076"/>
      <w:bookmarkStart w:id="152" w:name="_Toc213773547"/>
      <w:bookmarkStart w:id="153" w:name="_Toc213663145"/>
      <w:r>
        <w:rPr>
          <w:rFonts w:hint="eastAsia"/>
        </w:rPr>
        <w:t>7.2  施工组织与准备</w:t>
      </w:r>
      <w:bookmarkEnd w:id="147"/>
      <w:bookmarkEnd w:id="148"/>
      <w:bookmarkEnd w:id="149"/>
      <w:bookmarkEnd w:id="150"/>
      <w:bookmarkEnd w:id="151"/>
      <w:bookmarkEnd w:id="152"/>
      <w:bookmarkEnd w:id="153"/>
    </w:p>
    <w:p>
      <w:pPr>
        <w:ind w:firstLine="0" w:firstLineChars="0"/>
      </w:pPr>
      <w:r>
        <w:rPr>
          <w:rFonts w:hint="eastAsia"/>
        </w:rPr>
        <w:t>7.2.1  正式施工前，应取得以下资料：</w:t>
      </w:r>
    </w:p>
    <w:p>
      <w:pPr>
        <w:ind w:firstLine="480"/>
      </w:pPr>
      <w:r>
        <w:rPr>
          <w:rFonts w:hint="eastAsia"/>
        </w:rPr>
        <w:t xml:space="preserve">1  </w:t>
      </w:r>
      <w:r>
        <w:t>通过审查的地基处理设计文件及图纸会审纪要</w:t>
      </w:r>
      <w:r>
        <w:rPr>
          <w:rFonts w:hint="eastAsia"/>
        </w:rPr>
        <w:t>；</w:t>
      </w:r>
    </w:p>
    <w:p>
      <w:pPr>
        <w:ind w:firstLine="480"/>
      </w:pPr>
      <w:r>
        <w:rPr>
          <w:rFonts w:hint="eastAsia"/>
        </w:rPr>
        <w:t xml:space="preserve">2  </w:t>
      </w:r>
      <w:r>
        <w:t>通过审查的岩土工程勘察报告</w:t>
      </w:r>
      <w:r>
        <w:rPr>
          <w:rFonts w:hint="eastAsia"/>
        </w:rPr>
        <w:t>；</w:t>
      </w:r>
    </w:p>
    <w:p>
      <w:pPr>
        <w:ind w:firstLine="480"/>
      </w:pPr>
      <w:r>
        <w:rPr>
          <w:rFonts w:hint="eastAsia"/>
        </w:rPr>
        <w:t xml:space="preserve">3  </w:t>
      </w:r>
      <w:r>
        <w:t>施工现场测量控制点及相关资料</w:t>
      </w:r>
      <w:r>
        <w:rPr>
          <w:rFonts w:hint="eastAsia"/>
        </w:rPr>
        <w:t>；</w:t>
      </w:r>
    </w:p>
    <w:p>
      <w:pPr>
        <w:ind w:firstLine="480"/>
      </w:pPr>
      <w:r>
        <w:rPr>
          <w:rFonts w:hint="eastAsia"/>
        </w:rPr>
        <w:t xml:space="preserve">4  </w:t>
      </w:r>
      <w:r>
        <w:t>施工技术要求</w:t>
      </w:r>
      <w:r>
        <w:rPr>
          <w:rFonts w:hint="eastAsia"/>
        </w:rPr>
        <w:t>；</w:t>
      </w:r>
    </w:p>
    <w:p>
      <w:pPr>
        <w:ind w:firstLine="480"/>
      </w:pPr>
      <w:r>
        <w:rPr>
          <w:rFonts w:hint="eastAsia"/>
        </w:rPr>
        <w:t xml:space="preserve">5  </w:t>
      </w:r>
      <w:r>
        <w:t>施工区域内和周边一定范围内的地上及地下设施的相关资料</w:t>
      </w:r>
      <w:r>
        <w:rPr>
          <w:rFonts w:hint="eastAsia"/>
        </w:rPr>
        <w:t>；</w:t>
      </w:r>
    </w:p>
    <w:p>
      <w:pPr>
        <w:ind w:firstLine="480"/>
      </w:pPr>
      <w:r>
        <w:rPr>
          <w:rFonts w:hint="eastAsia"/>
        </w:rPr>
        <w:t xml:space="preserve">6  </w:t>
      </w:r>
      <w:r>
        <w:t>同类施工场地的施工经验</w:t>
      </w:r>
      <w:r>
        <w:rPr>
          <w:rFonts w:hint="eastAsia"/>
        </w:rPr>
        <w:t>；</w:t>
      </w:r>
    </w:p>
    <w:p>
      <w:pPr>
        <w:ind w:firstLine="480"/>
      </w:pPr>
      <w:r>
        <w:rPr>
          <w:rFonts w:hint="eastAsia"/>
        </w:rPr>
        <w:t xml:space="preserve">7  </w:t>
      </w:r>
      <w:r>
        <w:t>和地基处理施工有关的法律法规、标准和规范。</w:t>
      </w:r>
    </w:p>
    <w:p>
      <w:pPr>
        <w:ind w:firstLine="0" w:firstLineChars="0"/>
      </w:pPr>
      <w:r>
        <w:rPr>
          <w:rFonts w:hint="eastAsia"/>
        </w:rPr>
        <w:t>7.2.2  施工单位应编制施工组织设计；特殊地质条件或有特殊技术要求的，应编制专项施工技术方案和专项安全方案。</w:t>
      </w:r>
    </w:p>
    <w:p>
      <w:pPr>
        <w:ind w:firstLine="0" w:firstLineChars="0"/>
      </w:pPr>
      <w:r>
        <w:rPr>
          <w:rFonts w:hint="eastAsia"/>
        </w:rPr>
        <w:t>7.2.3  项目部应对施工人员进行技术、安全、环保等交底工作，交底记录应按规定签字归档。</w:t>
      </w:r>
    </w:p>
    <w:p>
      <w:pPr>
        <w:ind w:firstLine="0" w:firstLineChars="0"/>
      </w:pPr>
      <w:r>
        <w:rPr>
          <w:rFonts w:hint="eastAsia"/>
        </w:rPr>
        <w:t>7.2.4  施工现场应满足供水、供电、道路、排水等要求，地上、地下障碍物应处理完毕，施工用的临时设施准备就绪。</w:t>
      </w:r>
    </w:p>
    <w:p>
      <w:pPr>
        <w:ind w:firstLine="0" w:firstLineChars="0"/>
      </w:pPr>
      <w:r>
        <w:rPr>
          <w:rFonts w:hint="eastAsia"/>
        </w:rPr>
        <w:t>7.2.5  施工现场应做好水、电管线的布置工作，道路、基坑坡道应满足设备通行要求，对不满足要求的软弱场地应加固处理。</w:t>
      </w:r>
    </w:p>
    <w:p>
      <w:pPr>
        <w:pStyle w:val="3"/>
      </w:pPr>
      <w:bookmarkStart w:id="154" w:name="_Toc213662952"/>
      <w:bookmarkStart w:id="155" w:name="_Toc212480168"/>
      <w:bookmarkStart w:id="156" w:name="_Toc213690077"/>
      <w:bookmarkStart w:id="157" w:name="_Toc213663146"/>
      <w:bookmarkStart w:id="158" w:name="_Toc213773548"/>
      <w:bookmarkStart w:id="159" w:name="_Toc213271652"/>
      <w:bookmarkStart w:id="160" w:name="_Toc213257662"/>
      <w:r>
        <w:rPr>
          <w:rFonts w:hint="eastAsia"/>
        </w:rPr>
        <w:t>7.3  振动沉管成桩施工</w:t>
      </w:r>
      <w:bookmarkEnd w:id="154"/>
      <w:bookmarkEnd w:id="155"/>
      <w:bookmarkEnd w:id="156"/>
      <w:bookmarkEnd w:id="157"/>
      <w:bookmarkEnd w:id="158"/>
      <w:bookmarkEnd w:id="159"/>
      <w:bookmarkEnd w:id="160"/>
    </w:p>
    <w:p>
      <w:pPr>
        <w:ind w:firstLine="0" w:firstLineChars="0"/>
      </w:pPr>
      <w:r>
        <w:rPr>
          <w:rFonts w:hint="eastAsia"/>
        </w:rPr>
        <w:t xml:space="preserve">7.3.1  </w:t>
      </w:r>
      <w:r>
        <w:t>成孔</w:t>
      </w:r>
      <w:r>
        <w:rPr>
          <w:rFonts w:hint="eastAsia"/>
        </w:rPr>
        <w:t>施工应满足下列要求：</w:t>
      </w:r>
    </w:p>
    <w:p>
      <w:pPr>
        <w:ind w:firstLine="480"/>
      </w:pPr>
      <w:r>
        <w:rPr>
          <w:rFonts w:hint="eastAsia"/>
        </w:rPr>
        <w:t xml:space="preserve">1  </w:t>
      </w:r>
      <w:r>
        <w:t>振动沉管成孔灌注桩（包括多点振动</w:t>
      </w:r>
      <w:r>
        <w:rPr>
          <w:rFonts w:hint="eastAsia"/>
        </w:rPr>
        <w:t>施工工艺</w:t>
      </w:r>
      <w:r>
        <w:t>）适宜于人工填土、淤泥质土、</w:t>
      </w:r>
      <w:r>
        <w:rPr>
          <w:rFonts w:hint="eastAsia"/>
        </w:rPr>
        <w:t>黏性</w:t>
      </w:r>
      <w:r>
        <w:t>土、粉土、砂土地层</w:t>
      </w:r>
      <w:r>
        <w:rPr>
          <w:rFonts w:hint="eastAsia"/>
        </w:rPr>
        <w:t>；</w:t>
      </w:r>
    </w:p>
    <w:p>
      <w:pPr>
        <w:ind w:firstLine="480"/>
      </w:pPr>
      <w:r>
        <w:rPr>
          <w:rFonts w:hint="eastAsia"/>
        </w:rPr>
        <w:t xml:space="preserve">2  </w:t>
      </w:r>
      <w:r>
        <w:t>振动沉管成孔灌注桩应根据土质情况和荷载要求，分别选用单打法、复打法、反插法等。单打法可用于含水量较小的土层，且宜采用预制桩尖；反插法及复打法可用于饱和土层</w:t>
      </w:r>
      <w:r>
        <w:rPr>
          <w:rFonts w:hint="eastAsia"/>
        </w:rPr>
        <w:t>；</w:t>
      </w:r>
    </w:p>
    <w:p>
      <w:pPr>
        <w:ind w:firstLine="480"/>
      </w:pPr>
      <w:r>
        <w:rPr>
          <w:rFonts w:hint="eastAsia"/>
        </w:rPr>
        <w:t xml:space="preserve">3  </w:t>
      </w:r>
      <w:r>
        <w:t>成桩机械</w:t>
      </w:r>
      <w:r>
        <w:rPr>
          <w:rFonts w:hint="eastAsia"/>
        </w:rPr>
        <w:t>应</w:t>
      </w:r>
      <w:r>
        <w:t>经鉴定合格，不得使用不合格机械。钻孔机具及工艺的选择，应根据桩型、钻孔深度、土层情况及处理条件综合确定</w:t>
      </w:r>
      <w:r>
        <w:rPr>
          <w:rFonts w:hint="eastAsia"/>
        </w:rPr>
        <w:t>；</w:t>
      </w:r>
    </w:p>
    <w:p>
      <w:pPr>
        <w:ind w:firstLine="480"/>
      </w:pPr>
      <w:r>
        <w:rPr>
          <w:rFonts w:hint="eastAsia"/>
        </w:rPr>
        <w:t xml:space="preserve">4  </w:t>
      </w:r>
      <w:r>
        <w:t>振动沉管施工工艺应进行试验性施工，且需符合以下要求：</w:t>
      </w:r>
    </w:p>
    <w:p>
      <w:pPr>
        <w:ind w:firstLine="480"/>
      </w:pPr>
      <w:r>
        <w:rPr>
          <w:rFonts w:cs="Times New Roman"/>
        </w:rPr>
        <w:t>1）</w:t>
      </w:r>
      <w:r>
        <w:rPr>
          <w:rFonts w:hint="eastAsia"/>
        </w:rPr>
        <w:t>应</w:t>
      </w:r>
      <w:r>
        <w:t>选择</w:t>
      </w:r>
      <w:r>
        <w:rPr>
          <w:rFonts w:hint="eastAsia"/>
        </w:rPr>
        <w:t>具</w:t>
      </w:r>
      <w:r>
        <w:t>有代表性的场地</w:t>
      </w:r>
      <w:r>
        <w:rPr>
          <w:rFonts w:hint="eastAsia"/>
        </w:rPr>
        <w:t>进行试验；</w:t>
      </w:r>
    </w:p>
    <w:p>
      <w:pPr>
        <w:ind w:firstLine="480"/>
      </w:pPr>
      <w:r>
        <w:rPr>
          <w:rFonts w:cs="Times New Roman"/>
        </w:rPr>
        <w:t>2）</w:t>
      </w:r>
      <w:r>
        <w:t>检验振动沉管成桩</w:t>
      </w:r>
      <w:r>
        <w:rPr>
          <w:rFonts w:hint="eastAsia"/>
        </w:rPr>
        <w:t>工艺</w:t>
      </w:r>
      <w:r>
        <w:t>的可行性、可靠性和适宜性</w:t>
      </w:r>
      <w:r>
        <w:rPr>
          <w:rFonts w:hint="eastAsia"/>
        </w:rPr>
        <w:t>；</w:t>
      </w:r>
    </w:p>
    <w:p>
      <w:pPr>
        <w:ind w:firstLine="480"/>
      </w:pPr>
      <w:r>
        <w:rPr>
          <w:rFonts w:cs="Times New Roman"/>
        </w:rPr>
        <w:t>3）</w:t>
      </w:r>
      <w:r>
        <w:t>检验并确定留振时间和提升速度</w:t>
      </w:r>
      <w:r>
        <w:rPr>
          <w:rFonts w:hint="eastAsia"/>
        </w:rPr>
        <w:t>；</w:t>
      </w:r>
    </w:p>
    <w:p>
      <w:pPr>
        <w:ind w:firstLine="480"/>
      </w:pPr>
      <w:r>
        <w:rPr>
          <w:rFonts w:cs="Times New Roman"/>
        </w:rPr>
        <w:t>4）</w:t>
      </w:r>
      <w:r>
        <w:t>确定合适的振动桩锤功率</w:t>
      </w:r>
      <w:r>
        <w:rPr>
          <w:rFonts w:hint="eastAsia"/>
        </w:rPr>
        <w:t>；</w:t>
      </w:r>
    </w:p>
    <w:p>
      <w:pPr>
        <w:ind w:firstLine="480"/>
      </w:pPr>
      <w:r>
        <w:rPr>
          <w:rFonts w:hint="eastAsia"/>
        </w:rPr>
        <w:t xml:space="preserve">5  </w:t>
      </w:r>
      <w:r>
        <w:t>成孔设备就位后，</w:t>
      </w:r>
      <w:r>
        <w:rPr>
          <w:rFonts w:hint="eastAsia"/>
        </w:rPr>
        <w:t>应</w:t>
      </w:r>
      <w:r>
        <w:t>平整、稳固，确保在成孔过程中不发生倾斜和偏移。应在成孔钻具上设置控制深度的标尺，并应在施工</w:t>
      </w:r>
      <w:r>
        <w:rPr>
          <w:rFonts w:hint="eastAsia"/>
        </w:rPr>
        <w:t>过程</w:t>
      </w:r>
      <w:r>
        <w:t>中进行观测记录。</w:t>
      </w:r>
    </w:p>
    <w:p>
      <w:pPr>
        <w:ind w:firstLine="480"/>
      </w:pPr>
      <w:r>
        <w:rPr>
          <w:rFonts w:hint="eastAsia"/>
        </w:rPr>
        <w:t xml:space="preserve">6  </w:t>
      </w:r>
      <w:r>
        <w:t>当遇有松散饱和粉土或淤泥质土</w:t>
      </w:r>
      <w:r>
        <w:rPr>
          <w:rFonts w:hint="eastAsia"/>
        </w:rPr>
        <w:t>等软弱地层</w:t>
      </w:r>
      <w:r>
        <w:t>时，宜采取隔桩跳打措施</w:t>
      </w:r>
      <w:r>
        <w:rPr>
          <w:rFonts w:hint="eastAsia"/>
        </w:rPr>
        <w:t>。</w:t>
      </w:r>
    </w:p>
    <w:p>
      <w:pPr>
        <w:ind w:firstLine="0" w:firstLineChars="0"/>
        <w:rPr>
          <w:bCs/>
        </w:rPr>
      </w:pPr>
      <w:r>
        <w:rPr>
          <w:rFonts w:hint="eastAsia"/>
          <w:bCs/>
        </w:rPr>
        <w:t xml:space="preserve">7.3.2 </w:t>
      </w:r>
      <w:r>
        <w:rPr>
          <w:bCs/>
        </w:rPr>
        <w:t xml:space="preserve"> 成</w:t>
      </w:r>
      <w:r>
        <w:rPr>
          <w:rFonts w:hint="eastAsia"/>
          <w:bCs/>
        </w:rPr>
        <w:t>桩施工应满足下列要求：</w:t>
      </w:r>
    </w:p>
    <w:p>
      <w:pPr>
        <w:ind w:firstLine="480"/>
        <w:rPr>
          <w:bCs/>
        </w:rPr>
      </w:pPr>
      <w:r>
        <w:rPr>
          <w:rFonts w:hint="eastAsia"/>
          <w:bCs/>
        </w:rPr>
        <w:t xml:space="preserve">1  </w:t>
      </w:r>
      <w:r>
        <w:rPr>
          <w:bCs/>
        </w:rPr>
        <w:t>振动沉管</w:t>
      </w:r>
      <w:r>
        <w:rPr>
          <w:rFonts w:hint="eastAsia"/>
          <w:bCs/>
        </w:rPr>
        <w:t>成桩</w:t>
      </w:r>
      <w:r>
        <w:rPr>
          <w:bCs/>
        </w:rPr>
        <w:t>施工应符合下列规定：</w:t>
      </w:r>
    </w:p>
    <w:p>
      <w:pPr>
        <w:ind w:firstLine="480"/>
      </w:pPr>
      <w:r>
        <w:rPr>
          <w:rFonts w:cs="Times New Roman"/>
        </w:rPr>
        <w:t>1）</w:t>
      </w:r>
      <w:r>
        <w:t>振动沉管灌注成桩施工的坍落度宜为</w:t>
      </w:r>
      <w:r>
        <w:rPr>
          <w:rFonts w:hint="eastAsia"/>
        </w:rPr>
        <w:t xml:space="preserve">80 </w:t>
      </w:r>
      <w:r>
        <w:t>mm~</w:t>
      </w:r>
      <w:r>
        <w:rPr>
          <w:rFonts w:hint="eastAsia"/>
        </w:rPr>
        <w:t xml:space="preserve">100 </w:t>
      </w:r>
      <w:r>
        <w:t>mm;</w:t>
      </w:r>
    </w:p>
    <w:p>
      <w:pPr>
        <w:ind w:firstLine="480"/>
      </w:pPr>
      <w:r>
        <w:rPr>
          <w:rFonts w:cs="Times New Roman"/>
        </w:rPr>
        <w:t>2）</w:t>
      </w:r>
      <w:r>
        <w:t>施工桩顶标高宜高出设计桩顶标高不少于0.5</w:t>
      </w:r>
      <w:r>
        <w:rPr>
          <w:rFonts w:hint="eastAsia"/>
        </w:rPr>
        <w:t xml:space="preserve"> </w:t>
      </w:r>
      <w:r>
        <w:t>m；</w:t>
      </w:r>
    </w:p>
    <w:p>
      <w:pPr>
        <w:ind w:firstLine="480"/>
      </w:pPr>
      <w:r>
        <w:rPr>
          <w:rFonts w:cs="Times New Roman"/>
          <w:bCs/>
        </w:rPr>
        <w:t>3）</w:t>
      </w:r>
      <w:r>
        <w:t>拔管速度宜为1.2 m/min～1.5</w:t>
      </w:r>
      <w:r>
        <w:rPr>
          <w:rFonts w:hint="eastAsia"/>
        </w:rPr>
        <w:t xml:space="preserve"> </w:t>
      </w:r>
      <w:r>
        <w:t>m/min，在软弱土层中宜控制在0.6 m/min～0.8</w:t>
      </w:r>
      <w:r>
        <w:rPr>
          <w:rFonts w:hint="eastAsia"/>
        </w:rPr>
        <w:t xml:space="preserve"> </w:t>
      </w:r>
      <w:r>
        <w:t>m/min</w:t>
      </w:r>
      <w:r>
        <w:rPr>
          <w:rFonts w:hint="eastAsia"/>
        </w:rPr>
        <w:t>；采</w:t>
      </w:r>
      <w:r>
        <w:t>用活瓣桩尖时宜</w:t>
      </w:r>
      <w:r>
        <w:rPr>
          <w:rFonts w:hint="eastAsia"/>
        </w:rPr>
        <w:t>选用较大值</w:t>
      </w:r>
      <w:r>
        <w:t>，</w:t>
      </w:r>
      <w:r>
        <w:rPr>
          <w:rFonts w:hint="eastAsia"/>
        </w:rPr>
        <w:t>采</w:t>
      </w:r>
      <w:r>
        <w:t>用预制桩尖时可</w:t>
      </w:r>
      <w:r>
        <w:rPr>
          <w:rFonts w:hint="eastAsia"/>
        </w:rPr>
        <w:t>选用较小值</w:t>
      </w:r>
      <w:r>
        <w:t>；</w:t>
      </w:r>
    </w:p>
    <w:p>
      <w:pPr>
        <w:ind w:firstLine="480"/>
      </w:pPr>
      <w:r>
        <w:rPr>
          <w:rFonts w:cs="Times New Roman"/>
        </w:rPr>
        <w:t>4）</w:t>
      </w:r>
      <w:r>
        <w:t>混凝土的充盈系数不得小于1.0；对于充盈系数小于1.0的桩，应全长复打；</w:t>
      </w:r>
    </w:p>
    <w:p>
      <w:pPr>
        <w:ind w:firstLine="480"/>
      </w:pPr>
      <w:r>
        <w:rPr>
          <w:rFonts w:hint="eastAsia"/>
        </w:rPr>
        <w:t xml:space="preserve">2  </w:t>
      </w:r>
      <w:r>
        <w:t>反插法施工质量控制应符合下列规定：</w:t>
      </w:r>
    </w:p>
    <w:p>
      <w:pPr>
        <w:ind w:firstLine="480"/>
      </w:pPr>
      <w:r>
        <w:rPr>
          <w:rFonts w:cs="Times New Roman"/>
        </w:rPr>
        <w:t>1）</w:t>
      </w:r>
      <w:r>
        <w:t>桩管灌满混凝土后，</w:t>
      </w:r>
      <w:r>
        <w:rPr>
          <w:rFonts w:hint="eastAsia"/>
        </w:rPr>
        <w:t>应</w:t>
      </w:r>
      <w:r>
        <w:t>先振动再拔管，拔管高度0.5</w:t>
      </w:r>
      <w:r>
        <w:rPr>
          <w:rFonts w:hint="eastAsia"/>
        </w:rPr>
        <w:t xml:space="preserve"> m</w:t>
      </w:r>
      <w:r>
        <w:t>～1.0</w:t>
      </w:r>
      <w:r>
        <w:rPr>
          <w:rFonts w:hint="eastAsia"/>
        </w:rPr>
        <w:t xml:space="preserve"> </w:t>
      </w:r>
      <w:r>
        <w:t>m，反插深度</w:t>
      </w:r>
      <w:r>
        <w:rPr>
          <w:rFonts w:hint="eastAsia"/>
        </w:rPr>
        <w:t>宜为</w:t>
      </w:r>
      <w:r>
        <w:t>0.3</w:t>
      </w:r>
      <w:r>
        <w:rPr>
          <w:rFonts w:hint="eastAsia"/>
        </w:rPr>
        <w:t xml:space="preserve"> m</w:t>
      </w:r>
      <w:r>
        <w:t>～0.5</w:t>
      </w:r>
      <w:r>
        <w:rPr>
          <w:rFonts w:hint="eastAsia"/>
        </w:rPr>
        <w:t xml:space="preserve"> </w:t>
      </w:r>
      <w:r>
        <w:t>m；在拔管过程中，应分段添加混凝土，管内混凝土面</w:t>
      </w:r>
      <w:r>
        <w:rPr>
          <w:rFonts w:hint="eastAsia"/>
        </w:rPr>
        <w:t>应</w:t>
      </w:r>
      <w:r>
        <w:t>高于地下水位1.0</w:t>
      </w:r>
      <w:r>
        <w:rPr>
          <w:rFonts w:hint="eastAsia"/>
        </w:rPr>
        <w:t xml:space="preserve"> </w:t>
      </w:r>
      <w:r>
        <w:t>m</w:t>
      </w:r>
      <w:r>
        <w:rPr>
          <w:rFonts w:hint="eastAsia"/>
        </w:rPr>
        <w:t>；</w:t>
      </w:r>
    </w:p>
    <w:p>
      <w:pPr>
        <w:ind w:firstLine="480"/>
      </w:pPr>
      <w:r>
        <w:rPr>
          <w:rFonts w:cs="Times New Roman"/>
        </w:rPr>
        <w:t>2）</w:t>
      </w:r>
      <w:r>
        <w:rPr>
          <w:rFonts w:hint="eastAsia"/>
        </w:rPr>
        <w:t>桩端</w:t>
      </w:r>
      <w:r>
        <w:t>1.5</w:t>
      </w:r>
      <w:r>
        <w:rPr>
          <w:rFonts w:hint="eastAsia"/>
        </w:rPr>
        <w:t xml:space="preserve"> </w:t>
      </w:r>
      <w:r>
        <w:t>m范围内，反插</w:t>
      </w:r>
      <w:r>
        <w:rPr>
          <w:rFonts w:hint="eastAsia"/>
        </w:rPr>
        <w:t>次数不宜少于两次</w:t>
      </w:r>
      <w:r>
        <w:t>；</w:t>
      </w:r>
    </w:p>
    <w:p>
      <w:pPr>
        <w:ind w:firstLine="480"/>
      </w:pPr>
      <w:r>
        <w:rPr>
          <w:rFonts w:cs="Times New Roman"/>
        </w:rPr>
        <w:t>3）</w:t>
      </w:r>
      <w:r>
        <w:t>淤泥</w:t>
      </w:r>
      <w:r>
        <w:rPr>
          <w:rFonts w:hint="eastAsia"/>
        </w:rPr>
        <w:t>质地</w:t>
      </w:r>
      <w:r>
        <w:t>层</w:t>
      </w:r>
      <w:r>
        <w:rPr>
          <w:rFonts w:hint="eastAsia"/>
        </w:rPr>
        <w:t>施工</w:t>
      </w:r>
      <w:r>
        <w:t>时，应减少拔管高度和反插深度，在流动性淤泥中不宜使用反插法</w:t>
      </w:r>
      <w:r>
        <w:rPr>
          <w:rFonts w:hint="eastAsia"/>
        </w:rPr>
        <w:t>；</w:t>
      </w:r>
    </w:p>
    <w:p>
      <w:pPr>
        <w:ind w:firstLine="480"/>
        <w:rPr>
          <w:rFonts w:ascii="Cambria Math" w:hAnsi="Cambria Math" w:cs="Cambria Math"/>
        </w:rPr>
      </w:pPr>
      <w:r>
        <w:rPr>
          <w:rFonts w:cs="Times New Roman"/>
        </w:rPr>
        <w:t>4）</w:t>
      </w:r>
      <w:r>
        <w:rPr>
          <w:rFonts w:hint="eastAsia" w:ascii="Cambria Math" w:hAnsi="Cambria Math" w:cs="Cambria Math"/>
        </w:rPr>
        <w:t>流塑状</w:t>
      </w:r>
      <w:r>
        <w:rPr>
          <w:rFonts w:ascii="Cambria Math" w:hAnsi="Cambria Math" w:cs="Cambria Math"/>
        </w:rPr>
        <w:t>淤泥</w:t>
      </w:r>
      <w:r>
        <w:rPr>
          <w:rFonts w:hint="eastAsia" w:ascii="Cambria Math" w:hAnsi="Cambria Math" w:cs="Cambria Math"/>
        </w:rPr>
        <w:t>质</w:t>
      </w:r>
      <w:r>
        <w:rPr>
          <w:rFonts w:ascii="Cambria Math" w:hAnsi="Cambria Math" w:cs="Cambria Math"/>
        </w:rPr>
        <w:t>中不宜</w:t>
      </w:r>
      <w:r>
        <w:rPr>
          <w:rFonts w:hint="eastAsia" w:ascii="Cambria Math" w:hAnsi="Cambria Math" w:cs="Cambria Math"/>
        </w:rPr>
        <w:t>采用</w:t>
      </w:r>
      <w:r>
        <w:rPr>
          <w:rFonts w:ascii="Cambria Math" w:hAnsi="Cambria Math" w:cs="Cambria Math"/>
        </w:rPr>
        <w:t>反插法。</w:t>
      </w:r>
    </w:p>
    <w:p>
      <w:pPr>
        <w:ind w:firstLine="480"/>
      </w:pPr>
      <w:r>
        <w:rPr>
          <w:rFonts w:hint="eastAsia"/>
        </w:rPr>
        <w:t xml:space="preserve">3  </w:t>
      </w:r>
      <w:r>
        <w:t>振动沉管施工工艺（包括多点振动）施工允许偏差，应符合下列规定：</w:t>
      </w:r>
    </w:p>
    <w:p>
      <w:pPr>
        <w:ind w:firstLine="480"/>
      </w:pPr>
      <w:r>
        <w:rPr>
          <w:rFonts w:cs="Times New Roman"/>
        </w:rPr>
        <w:t>1）</w:t>
      </w:r>
      <w:r>
        <w:t>桩径允许偏差：不小于设计值；</w:t>
      </w:r>
    </w:p>
    <w:p>
      <w:pPr>
        <w:ind w:firstLine="480"/>
      </w:pPr>
      <w:r>
        <w:rPr>
          <w:rFonts w:cs="Times New Roman"/>
        </w:rPr>
        <w:t>2）</w:t>
      </w:r>
      <w:r>
        <w:t>桩长允许偏差：不小于设计值；</w:t>
      </w:r>
    </w:p>
    <w:p>
      <w:pPr>
        <w:ind w:firstLine="480"/>
      </w:pPr>
      <w:r>
        <w:rPr>
          <w:rFonts w:cs="Times New Roman"/>
        </w:rPr>
        <w:t>3）</w:t>
      </w:r>
      <w:r>
        <w:t>垂直度允许偏差：1%；</w:t>
      </w:r>
    </w:p>
    <w:p>
      <w:pPr>
        <w:ind w:firstLine="480"/>
      </w:pPr>
      <w:r>
        <w:rPr>
          <w:rFonts w:hint="eastAsia" w:ascii="Cambria Math" w:hAnsi="Cambria Math" w:cs="Cambria Math"/>
        </w:rPr>
        <w:t>4）</w:t>
      </w:r>
      <w:r>
        <w:t>D&lt;500</w:t>
      </w:r>
      <w:r>
        <w:rPr>
          <w:rFonts w:hint="eastAsia"/>
        </w:rPr>
        <w:t xml:space="preserve"> </w:t>
      </w:r>
      <w:r>
        <w:t>mm，桩位允许偏差70+0.01H；D&gt;500</w:t>
      </w:r>
      <w:r>
        <w:rPr>
          <w:rFonts w:hint="eastAsia"/>
        </w:rPr>
        <w:t xml:space="preserve"> </w:t>
      </w:r>
      <w:r>
        <w:t>mm，桩位允许偏差100+0.01H。其中H为桩基施工面至设计桩顶的距离，（mm）；D为设计桩径(mm)。</w:t>
      </w:r>
    </w:p>
    <w:p>
      <w:pPr>
        <w:pStyle w:val="3"/>
      </w:pPr>
      <w:bookmarkStart w:id="161" w:name="_Toc213690078"/>
      <w:bookmarkStart w:id="162" w:name="_Toc213663147"/>
      <w:bookmarkStart w:id="163" w:name="_Toc213662953"/>
      <w:bookmarkStart w:id="164" w:name="_Toc213773549"/>
      <w:r>
        <w:rPr>
          <w:rFonts w:hint="eastAsia"/>
        </w:rPr>
        <w:t>7</w:t>
      </w:r>
      <w:r>
        <w:t xml:space="preserve">.4  </w:t>
      </w:r>
      <w:r>
        <w:rPr>
          <w:rFonts w:hint="eastAsia"/>
        </w:rPr>
        <w:t>长螺旋钻机成桩施工</w:t>
      </w:r>
      <w:bookmarkEnd w:id="161"/>
      <w:bookmarkEnd w:id="162"/>
      <w:bookmarkEnd w:id="163"/>
      <w:bookmarkEnd w:id="164"/>
    </w:p>
    <w:p>
      <w:pPr>
        <w:ind w:firstLine="0" w:firstLineChars="0"/>
      </w:pPr>
      <w:r>
        <w:rPr>
          <w:rFonts w:hint="eastAsia"/>
        </w:rPr>
        <w:t>7.4.1</w:t>
      </w:r>
      <w:r>
        <w:t xml:space="preserve"> </w:t>
      </w:r>
      <w:r>
        <w:rPr>
          <w:rFonts w:hint="eastAsia"/>
        </w:rPr>
        <w:t xml:space="preserve"> </w:t>
      </w:r>
      <w:r>
        <w:t>成孔</w:t>
      </w:r>
      <w:r>
        <w:rPr>
          <w:rFonts w:hint="eastAsia"/>
        </w:rPr>
        <w:t>施工应满足下列要求：</w:t>
      </w:r>
    </w:p>
    <w:p>
      <w:pPr>
        <w:ind w:firstLine="480"/>
      </w:pPr>
      <w:r>
        <w:rPr>
          <w:rFonts w:hint="eastAsia"/>
        </w:rPr>
        <w:t>1  长螺旋钻孔施工适用于黏性土、粉土、砂土和素填土地基，对噪声或泥浆污染要求严格的场地可优先选用，穿越卵石夹层时应通过试验确定适用性；</w:t>
      </w:r>
    </w:p>
    <w:p>
      <w:pPr>
        <w:ind w:firstLine="480"/>
      </w:pPr>
      <w:r>
        <w:rPr>
          <w:rFonts w:hint="eastAsia"/>
        </w:rPr>
        <w:t>2  长螺旋钻机的各项性能参数应满足场地工程地质、水文地质条件及施工图设计的成孔要求；</w:t>
      </w:r>
    </w:p>
    <w:p>
      <w:pPr>
        <w:numPr>
          <w:ilvl w:val="255"/>
          <w:numId w:val="0"/>
        </w:numPr>
        <w:ind w:firstLine="480"/>
      </w:pPr>
      <w:r>
        <w:rPr>
          <w:rFonts w:hint="eastAsia"/>
        </w:rPr>
        <w:t xml:space="preserve">3  </w:t>
      </w:r>
      <w:r>
        <w:t>钻机就位应符合下列规定</w:t>
      </w:r>
      <w:r>
        <w:rPr>
          <w:rFonts w:hint="eastAsia"/>
        </w:rPr>
        <w:t>：</w:t>
      </w:r>
    </w:p>
    <w:p>
      <w:pPr>
        <w:ind w:firstLine="480"/>
      </w:pPr>
      <w:r>
        <w:rPr>
          <w:rFonts w:cs="Times New Roman"/>
        </w:rPr>
        <w:t>1）</w:t>
      </w:r>
      <w:r>
        <w:t>钻机钻头应对准桩位，钻头与桩位点的允许偏差</w:t>
      </w:r>
      <w:r>
        <w:rPr>
          <w:rFonts w:hint="eastAsia"/>
        </w:rPr>
        <w:t>不</w:t>
      </w:r>
      <w:r>
        <w:t>应</w:t>
      </w:r>
      <w:r>
        <w:rPr>
          <w:rFonts w:hint="eastAsia"/>
        </w:rPr>
        <w:t>大于</w:t>
      </w:r>
      <w:r>
        <w:t>20</w:t>
      </w:r>
      <w:r>
        <w:rPr>
          <w:rFonts w:hint="eastAsia"/>
        </w:rPr>
        <w:t xml:space="preserve"> </w:t>
      </w:r>
      <w:r>
        <w:t>mm</w:t>
      </w:r>
      <w:r>
        <w:rPr>
          <w:rFonts w:hint="eastAsia"/>
        </w:rPr>
        <w:t>；</w:t>
      </w:r>
    </w:p>
    <w:p>
      <w:pPr>
        <w:ind w:firstLine="480"/>
      </w:pPr>
      <w:r>
        <w:rPr>
          <w:rFonts w:cs="Times New Roman"/>
        </w:rPr>
        <w:t>2）</w:t>
      </w:r>
      <w:r>
        <w:t>钻机塔身应保持垂直，垂直度的允许偏差</w:t>
      </w:r>
      <w:r>
        <w:rPr>
          <w:rFonts w:hint="eastAsia"/>
        </w:rPr>
        <w:t>不</w:t>
      </w:r>
      <w:r>
        <w:t>应</w:t>
      </w:r>
      <w:r>
        <w:rPr>
          <w:rFonts w:hint="eastAsia"/>
        </w:rPr>
        <w:t>大于</w:t>
      </w:r>
      <w:r>
        <w:t>0.5%</w:t>
      </w:r>
      <w:r>
        <w:rPr>
          <w:rFonts w:hint="eastAsia"/>
        </w:rPr>
        <w:t>。</w:t>
      </w:r>
    </w:p>
    <w:p>
      <w:pPr>
        <w:ind w:firstLine="480"/>
      </w:pPr>
      <w:r>
        <w:rPr>
          <w:rFonts w:hint="eastAsia"/>
        </w:rPr>
        <w:t xml:space="preserve">4  </w:t>
      </w:r>
      <w:r>
        <w:t>成孔施工应符合下列规定</w:t>
      </w:r>
      <w:r>
        <w:rPr>
          <w:rFonts w:hint="eastAsia"/>
        </w:rPr>
        <w:t>：</w:t>
      </w:r>
    </w:p>
    <w:p>
      <w:pPr>
        <w:ind w:firstLine="480"/>
      </w:pPr>
      <w:r>
        <w:rPr>
          <w:rFonts w:cs="Times New Roman"/>
        </w:rPr>
        <w:t>1）</w:t>
      </w:r>
      <w:r>
        <w:t>开钻前钻头阀门应封闭；</w:t>
      </w:r>
    </w:p>
    <w:p>
      <w:pPr>
        <w:ind w:firstLine="480"/>
      </w:pPr>
      <w:r>
        <w:rPr>
          <w:rFonts w:eastAsia="黑体" w:cs="Times New Roman"/>
        </w:rPr>
        <w:t>2）</w:t>
      </w:r>
      <w:r>
        <w:rPr>
          <w:rFonts w:ascii="Cambria Math" w:hAnsi="Cambria Math" w:cs="Cambria Math"/>
        </w:rPr>
        <w:t>钻进速度</w:t>
      </w:r>
      <w:r>
        <w:rPr>
          <w:rFonts w:hint="eastAsia" w:ascii="Cambria Math" w:hAnsi="Cambria Math" w:cs="Cambria Math"/>
        </w:rPr>
        <w:t>宜</w:t>
      </w:r>
      <w:r>
        <w:rPr>
          <w:rFonts w:ascii="Cambria Math" w:hAnsi="Cambria Math" w:cs="Cambria Math"/>
        </w:rPr>
        <w:t>先慢后快；</w:t>
      </w:r>
      <w:r>
        <w:t xml:space="preserve"> </w:t>
      </w:r>
    </w:p>
    <w:p>
      <w:pPr>
        <w:ind w:firstLine="480"/>
      </w:pPr>
      <w:r>
        <w:rPr>
          <w:rFonts w:cs="Times New Roman"/>
        </w:rPr>
        <w:t>3）</w:t>
      </w:r>
      <w:r>
        <w:t>当钻杆摇晃或难以钻进时，应放慢钻进速度或停机，查明原因并采取措施后继续钻进，禁止强行钻进。</w:t>
      </w:r>
    </w:p>
    <w:p>
      <w:pPr>
        <w:numPr>
          <w:ilvl w:val="255"/>
          <w:numId w:val="0"/>
        </w:numPr>
        <w:ind w:firstLine="480"/>
      </w:pPr>
      <w:r>
        <w:rPr>
          <w:rFonts w:hint="eastAsia"/>
        </w:rPr>
        <w:t xml:space="preserve">5  </w:t>
      </w:r>
      <w:r>
        <w:t>钻孔深度应根据设计桩长及施工</w:t>
      </w:r>
      <w:r>
        <w:rPr>
          <w:rFonts w:hint="eastAsia"/>
        </w:rPr>
        <w:t>地</w:t>
      </w:r>
      <w:r>
        <w:t>面标高确定</w:t>
      </w:r>
      <w:r>
        <w:rPr>
          <w:rFonts w:hint="eastAsia"/>
        </w:rPr>
        <w:t>；</w:t>
      </w:r>
    </w:p>
    <w:p>
      <w:pPr>
        <w:numPr>
          <w:ilvl w:val="255"/>
          <w:numId w:val="0"/>
        </w:numPr>
        <w:ind w:firstLine="480"/>
      </w:pPr>
      <w:r>
        <w:rPr>
          <w:rFonts w:hint="eastAsia"/>
        </w:rPr>
        <w:t>6  长螺旋钻孔压灌桩</w:t>
      </w:r>
      <w:r>
        <w:t>施工允许偏差，应符合</w:t>
      </w:r>
      <w:r>
        <w:rPr>
          <w:rFonts w:hint="eastAsia"/>
        </w:rPr>
        <w:t>6.3.1的相关</w:t>
      </w:r>
      <w:r>
        <w:t>规定</w:t>
      </w:r>
      <w:r>
        <w:rPr>
          <w:rFonts w:hint="eastAsia"/>
        </w:rPr>
        <w:t>：</w:t>
      </w:r>
    </w:p>
    <w:p>
      <w:pPr>
        <w:ind w:firstLine="0" w:firstLineChars="0"/>
      </w:pPr>
      <w:r>
        <w:rPr>
          <w:rFonts w:hint="eastAsia"/>
        </w:rPr>
        <w:t>7.4.2</w:t>
      </w:r>
      <w:r>
        <w:t xml:space="preserve"> </w:t>
      </w:r>
      <w:r>
        <w:rPr>
          <w:rFonts w:hint="eastAsia"/>
        </w:rPr>
        <w:t xml:space="preserve"> </w:t>
      </w:r>
      <w:r>
        <w:t>成</w:t>
      </w:r>
      <w:r>
        <w:rPr>
          <w:rFonts w:hint="eastAsia"/>
        </w:rPr>
        <w:t>桩施工应满足下列要求：</w:t>
      </w:r>
    </w:p>
    <w:p>
      <w:pPr>
        <w:ind w:firstLine="480"/>
      </w:pPr>
      <w:r>
        <w:rPr>
          <w:rFonts w:hint="eastAsia"/>
        </w:rPr>
        <w:t xml:space="preserve">1  </w:t>
      </w:r>
      <w:r>
        <w:t>混凝土宜采用和易性较好的预拌混凝土，强度等级应符合设计要求，初凝时间宜大于6</w:t>
      </w:r>
      <w:r>
        <w:rPr>
          <w:rFonts w:hint="eastAsia"/>
        </w:rPr>
        <w:t xml:space="preserve"> </w:t>
      </w:r>
      <w:r>
        <w:t>h，灌注前坍落度宜为180</w:t>
      </w:r>
      <w:r>
        <w:rPr>
          <w:rFonts w:hint="eastAsia"/>
        </w:rPr>
        <w:t xml:space="preserve"> </w:t>
      </w:r>
      <w:r>
        <w:t>mm~220</w:t>
      </w:r>
      <w:r>
        <w:rPr>
          <w:rFonts w:hint="eastAsia"/>
        </w:rPr>
        <w:t xml:space="preserve"> </w:t>
      </w:r>
      <w:r>
        <w:t>mm</w:t>
      </w:r>
      <w:r>
        <w:rPr>
          <w:rFonts w:hint="eastAsia"/>
        </w:rPr>
        <w:t>；</w:t>
      </w:r>
    </w:p>
    <w:p>
      <w:pPr>
        <w:ind w:firstLine="480"/>
      </w:pPr>
      <w:r>
        <w:rPr>
          <w:rFonts w:hint="eastAsia"/>
        </w:rPr>
        <w:t xml:space="preserve">2  </w:t>
      </w:r>
      <w:r>
        <w:t>混凝土泵应根据桩径</w:t>
      </w:r>
      <w:r>
        <w:rPr>
          <w:rFonts w:hint="eastAsia"/>
        </w:rPr>
        <w:t>进行</w:t>
      </w:r>
      <w:r>
        <w:t>选型，与钻机的距离不宜超过60</w:t>
      </w:r>
      <w:r>
        <w:rPr>
          <w:rFonts w:hint="eastAsia"/>
        </w:rPr>
        <w:t xml:space="preserve"> </w:t>
      </w:r>
      <w:r>
        <w:t>m</w:t>
      </w:r>
      <w:r>
        <w:rPr>
          <w:rFonts w:hint="eastAsia"/>
        </w:rPr>
        <w:t>；</w:t>
      </w:r>
    </w:p>
    <w:p>
      <w:pPr>
        <w:ind w:firstLine="480"/>
      </w:pPr>
      <w:r>
        <w:rPr>
          <w:rFonts w:hint="eastAsia"/>
        </w:rPr>
        <w:t xml:space="preserve">3  </w:t>
      </w:r>
      <w:r>
        <w:t>钻至设计标高后，应先泵入混凝土并停顿10</w:t>
      </w:r>
      <w:r>
        <w:rPr>
          <w:rFonts w:hint="eastAsia"/>
        </w:rPr>
        <w:t xml:space="preserve"> s</w:t>
      </w:r>
      <w:r>
        <w:t>～20</w:t>
      </w:r>
      <w:r>
        <w:rPr>
          <w:rFonts w:hint="eastAsia"/>
        </w:rPr>
        <w:t xml:space="preserve"> </w:t>
      </w:r>
      <w:r>
        <w:t>s，再缓慢提升钻杆。提钻速度应根据土层情况确定，</w:t>
      </w:r>
      <w:r>
        <w:rPr>
          <w:rFonts w:hint="eastAsia"/>
        </w:rPr>
        <w:t>并</w:t>
      </w:r>
      <w:r>
        <w:t>应与混凝土泵送量相匹配</w:t>
      </w:r>
      <w:r>
        <w:rPr>
          <w:rFonts w:hint="eastAsia"/>
        </w:rPr>
        <w:t>；</w:t>
      </w:r>
    </w:p>
    <w:p>
      <w:pPr>
        <w:ind w:firstLine="480"/>
      </w:pPr>
      <w:r>
        <w:rPr>
          <w:rFonts w:hint="eastAsia"/>
        </w:rPr>
        <w:t xml:space="preserve">4  </w:t>
      </w:r>
      <w:r>
        <w:t>桩身混凝土的泵送压灌应连续进行</w:t>
      </w:r>
      <w:r>
        <w:rPr>
          <w:rFonts w:hint="eastAsia"/>
        </w:rPr>
        <w:t>；</w:t>
      </w:r>
    </w:p>
    <w:p>
      <w:pPr>
        <w:ind w:firstLine="480"/>
      </w:pPr>
      <w:r>
        <w:rPr>
          <w:rFonts w:hint="eastAsia"/>
        </w:rPr>
        <w:t xml:space="preserve">5  </w:t>
      </w:r>
      <w:r>
        <w:t>施工桩顶标高宜高出设计桩顶标高不少于0.5</w:t>
      </w:r>
      <w:r>
        <w:rPr>
          <w:rFonts w:hint="eastAsia"/>
        </w:rPr>
        <w:t xml:space="preserve"> </w:t>
      </w:r>
      <w:r>
        <w:t>m</w:t>
      </w:r>
      <w:r>
        <w:rPr>
          <w:rFonts w:hint="eastAsia"/>
        </w:rPr>
        <w:t>；</w:t>
      </w:r>
    </w:p>
    <w:p>
      <w:pPr>
        <w:pStyle w:val="3"/>
      </w:pPr>
      <w:bookmarkStart w:id="165" w:name="_Toc213271653"/>
      <w:bookmarkStart w:id="166" w:name="_Toc213773550"/>
      <w:bookmarkStart w:id="167" w:name="_Toc213690079"/>
      <w:bookmarkStart w:id="168" w:name="_Toc213663148"/>
      <w:bookmarkStart w:id="169" w:name="_Toc213662954"/>
      <w:bookmarkStart w:id="170" w:name="_Toc213257663"/>
      <w:bookmarkStart w:id="171" w:name="_Toc212480169"/>
      <w:r>
        <w:rPr>
          <w:rFonts w:hint="eastAsia"/>
        </w:rPr>
        <w:t>7.5  褥垫层施工</w:t>
      </w:r>
      <w:bookmarkEnd w:id="165"/>
      <w:bookmarkEnd w:id="166"/>
      <w:bookmarkEnd w:id="167"/>
      <w:bookmarkEnd w:id="168"/>
      <w:bookmarkEnd w:id="169"/>
      <w:bookmarkEnd w:id="170"/>
      <w:bookmarkEnd w:id="171"/>
    </w:p>
    <w:p>
      <w:pPr>
        <w:ind w:firstLine="0" w:firstLineChars="0"/>
      </w:pPr>
      <w:r>
        <w:rPr>
          <w:rFonts w:hint="eastAsia"/>
        </w:rPr>
        <w:t>7.5.1  褥垫层施工前，桩头的处理应满足下列要求：</w:t>
      </w:r>
    </w:p>
    <w:p>
      <w:pPr>
        <w:ind w:firstLine="480"/>
      </w:pPr>
      <w:r>
        <w:rPr>
          <w:rFonts w:hint="eastAsia"/>
        </w:rPr>
        <w:t>1  桩身混凝土强度应符合设计要求，且不宜低于设计强度的70%；</w:t>
      </w:r>
    </w:p>
    <w:p>
      <w:pPr>
        <w:ind w:firstLine="480"/>
      </w:pPr>
      <w:r>
        <w:rPr>
          <w:rFonts w:hint="eastAsia"/>
        </w:rPr>
        <w:t>2  应采用专用设备进行环形切槽，切断桩头混凝土。环切后，应采用合理的机械或人工方式从侧向破除桩头，严禁使用强力冲击或拉拽等可能损伤有效桩体的施工方法；</w:t>
      </w:r>
    </w:p>
    <w:p>
      <w:pPr>
        <w:ind w:firstLine="480"/>
      </w:pPr>
      <w:r>
        <w:rPr>
          <w:rFonts w:hint="eastAsia"/>
        </w:rPr>
        <w:t>3  凿除至设计标高后，桩头表面应平整、坚实，无松动物和残余浮浆；</w:t>
      </w:r>
    </w:p>
    <w:p>
      <w:pPr>
        <w:ind w:firstLine="480"/>
      </w:pPr>
      <w:r>
        <w:rPr>
          <w:rFonts w:hint="eastAsia"/>
        </w:rPr>
        <w:t>4  桩顶标高允许偏差应符合规范要求。</w:t>
      </w:r>
    </w:p>
    <w:p>
      <w:pPr>
        <w:ind w:firstLine="0" w:firstLineChars="0"/>
      </w:pPr>
      <w:r>
        <w:rPr>
          <w:rFonts w:hint="eastAsia"/>
        </w:rPr>
        <w:t>7.5.2  褥垫层施工前应清除浮土、淤泥和杂物，平整场地。</w:t>
      </w:r>
    </w:p>
    <w:p>
      <w:pPr>
        <w:ind w:firstLine="0" w:firstLineChars="0"/>
      </w:pPr>
      <w:r>
        <w:rPr>
          <w:rFonts w:hint="eastAsia"/>
        </w:rPr>
        <w:t>7.5.3  褥垫层材料进场后应对材料进行检验，材料质量应满足设计要求。</w:t>
      </w:r>
    </w:p>
    <w:p>
      <w:pPr>
        <w:ind w:firstLine="0" w:firstLineChars="0"/>
      </w:pPr>
      <w:r>
        <w:rPr>
          <w:rFonts w:hint="eastAsia"/>
        </w:rPr>
        <w:t>7.5.4  褥垫层材料可为粗砂、中砂、级配砂石或碎石，碎石粒径宜为5 mm~16 mm，不宜选用卵石。</w:t>
      </w:r>
    </w:p>
    <w:p>
      <w:pPr>
        <w:ind w:firstLine="0" w:firstLineChars="0"/>
      </w:pPr>
      <w:r>
        <w:rPr>
          <w:rFonts w:hint="eastAsia"/>
        </w:rPr>
        <w:t>7.5.5  当地基土含水量较大时，不宜采用动力夯实法。</w:t>
      </w:r>
    </w:p>
    <w:p>
      <w:pPr>
        <w:ind w:firstLine="0" w:firstLineChars="0"/>
      </w:pPr>
      <w:r>
        <w:rPr>
          <w:rFonts w:hint="eastAsia"/>
        </w:rPr>
        <w:t>7.5.6  分段施工时，接缝处应做成斜坡（坡度1:3），碾压时应跨缝碾压，上下层接缝应错开并不小于500 mm。</w:t>
      </w:r>
    </w:p>
    <w:p>
      <w:pPr>
        <w:ind w:firstLine="0" w:firstLineChars="0"/>
      </w:pPr>
      <w:r>
        <w:rPr>
          <w:rFonts w:hint="eastAsia"/>
        </w:rPr>
        <w:t>7.5.7  坑洼、隆起时应采用同类材料填补、找平后补压。</w:t>
      </w:r>
    </w:p>
    <w:p>
      <w:pPr>
        <w:ind w:firstLine="0" w:firstLineChars="0"/>
      </w:pPr>
    </w:p>
    <w:p>
      <w:pPr>
        <w:ind w:firstLine="480"/>
      </w:pPr>
    </w:p>
    <w:p>
      <w:pPr>
        <w:ind w:firstLine="480"/>
        <w:sectPr>
          <w:pgSz w:w="11906" w:h="16838"/>
          <w:pgMar w:top="1440" w:right="1800" w:bottom="1440" w:left="1800" w:header="851" w:footer="992" w:gutter="0"/>
          <w:cols w:space="425" w:num="1"/>
          <w:docGrid w:type="lines" w:linePitch="312" w:charSpace="0"/>
        </w:sectPr>
      </w:pPr>
    </w:p>
    <w:p>
      <w:pPr>
        <w:pStyle w:val="2"/>
      </w:pPr>
      <w:bookmarkStart w:id="172" w:name="_Toc212480171"/>
      <w:bookmarkStart w:id="173" w:name="_Toc213271655"/>
      <w:bookmarkStart w:id="174" w:name="_Toc213773551"/>
      <w:bookmarkStart w:id="175" w:name="_Toc213257665"/>
      <w:bookmarkStart w:id="176" w:name="_Toc213662955"/>
      <w:bookmarkStart w:id="177" w:name="_Toc213690080"/>
      <w:bookmarkStart w:id="178" w:name="_Toc213663149"/>
      <w:r>
        <w:rPr>
          <w:rFonts w:hint="eastAsia"/>
        </w:rPr>
        <w:t>8  质量检测与验收</w:t>
      </w:r>
      <w:bookmarkEnd w:id="172"/>
      <w:bookmarkEnd w:id="173"/>
      <w:bookmarkEnd w:id="174"/>
      <w:bookmarkEnd w:id="175"/>
      <w:bookmarkEnd w:id="176"/>
      <w:bookmarkEnd w:id="177"/>
      <w:bookmarkEnd w:id="178"/>
      <w:r>
        <w:rPr>
          <w:rFonts w:hint="eastAsia"/>
        </w:rPr>
        <w:tab/>
      </w:r>
    </w:p>
    <w:p>
      <w:pPr>
        <w:pStyle w:val="3"/>
      </w:pPr>
      <w:bookmarkStart w:id="179" w:name="_Toc213662956"/>
      <w:bookmarkStart w:id="180" w:name="_Toc213271656"/>
      <w:bookmarkStart w:id="181" w:name="_Toc213663150"/>
      <w:bookmarkStart w:id="182" w:name="_Toc213773552"/>
      <w:bookmarkStart w:id="183" w:name="_Toc213690081"/>
      <w:r>
        <w:rPr>
          <w:rFonts w:hint="eastAsia"/>
        </w:rPr>
        <w:t>8.1  一般规定</w:t>
      </w:r>
      <w:bookmarkEnd w:id="179"/>
      <w:bookmarkEnd w:id="180"/>
      <w:bookmarkEnd w:id="181"/>
      <w:bookmarkEnd w:id="182"/>
      <w:bookmarkEnd w:id="183"/>
    </w:p>
    <w:p>
      <w:pPr>
        <w:ind w:firstLine="0" w:firstLineChars="0"/>
      </w:pPr>
      <w:r>
        <w:rPr>
          <w:rFonts w:hint="eastAsia"/>
        </w:rPr>
        <w:t>8</w:t>
      </w:r>
      <w:r>
        <w:t>.1.</w:t>
      </w:r>
      <w:r>
        <w:rPr>
          <w:rFonts w:hint="eastAsia"/>
        </w:rPr>
        <w:t xml:space="preserve">1 </w:t>
      </w:r>
      <w:r>
        <w:t xml:space="preserve"> </w:t>
      </w:r>
      <w:r>
        <w:tab/>
      </w:r>
      <w:r>
        <w:t>钢渣混凝土桩</w:t>
      </w:r>
      <w:r>
        <w:rPr>
          <w:rFonts w:hint="eastAsia"/>
        </w:rPr>
        <w:t>复合地基</w:t>
      </w:r>
      <w:r>
        <w:t>检测分为以钢渣混凝土材料为桩体的复合地基检测、基桩检测。应根据检测目的合理选择检测方法。</w:t>
      </w:r>
    </w:p>
    <w:p>
      <w:pPr>
        <w:ind w:firstLine="480"/>
      </w:pPr>
      <w:r>
        <w:rPr>
          <w:rFonts w:hint="eastAsia"/>
        </w:rPr>
        <w:t xml:space="preserve">1  </w:t>
      </w:r>
      <w:r>
        <w:t>复合地基检测。地基检测内容包括复合地基承载力、变形参数。检测方法可选择</w:t>
      </w:r>
      <w:r>
        <w:rPr>
          <w:rFonts w:hint="eastAsia"/>
        </w:rPr>
        <w:t>浅层</w:t>
      </w:r>
      <w:r>
        <w:t>平板载荷试验。</w:t>
      </w:r>
    </w:p>
    <w:p>
      <w:pPr>
        <w:ind w:firstLine="480"/>
      </w:pPr>
      <w:r>
        <w:rPr>
          <w:rFonts w:hint="eastAsia"/>
        </w:rPr>
        <w:t>2  钢渣混凝土桩</w:t>
      </w:r>
      <w:r>
        <w:t>检测。基桩检测内容包括桩身完整性和承载力检测。桩身完整性检测可采用钻芯法、高应变法和低应变法等。单桩竖向抗压承载力检测可采用单桩竖向抗压静载试验和高应变法。</w:t>
      </w:r>
    </w:p>
    <w:p>
      <w:pPr>
        <w:ind w:firstLine="0" w:firstLineChars="0"/>
      </w:pPr>
      <w:r>
        <mc:AlternateContent>
          <mc:Choice Requires="wpg">
            <w:drawing>
              <wp:anchor distT="0" distB="0" distL="114300" distR="114300" simplePos="0" relativeHeight="251659264" behindDoc="0" locked="0" layoutInCell="1" allowOverlap="1">
                <wp:simplePos x="0" y="0"/>
                <wp:positionH relativeFrom="margin">
                  <wp:align>center</wp:align>
                </wp:positionH>
                <wp:positionV relativeFrom="paragraph">
                  <wp:posOffset>354330</wp:posOffset>
                </wp:positionV>
                <wp:extent cx="5017135" cy="4485005"/>
                <wp:effectExtent l="0" t="0" r="12065" b="10795"/>
                <wp:wrapSquare wrapText="bothSides"/>
                <wp:docPr id="81" name="组合 81"/>
                <wp:cNvGraphicFramePr/>
                <a:graphic xmlns:a="http://schemas.openxmlformats.org/drawingml/2006/main">
                  <a:graphicData uri="http://schemas.microsoft.com/office/word/2010/wordprocessingGroup">
                    <wpg:wgp>
                      <wpg:cNvGrpSpPr/>
                      <wpg:grpSpPr>
                        <a:xfrm>
                          <a:off x="0" y="0"/>
                          <a:ext cx="5017135" cy="4485005"/>
                          <a:chOff x="1990" y="-7522"/>
                          <a:chExt cx="7590" cy="6863"/>
                        </a:xfrm>
                      </wpg:grpSpPr>
                      <wps:wsp>
                        <wps:cNvPr id="23" name="矩形 23"/>
                        <wps:cNvSpPr/>
                        <wps:spPr>
                          <a:xfrm>
                            <a:off x="5323" y="-7522"/>
                            <a:ext cx="1135" cy="527"/>
                          </a:xfrm>
                          <a:prstGeom prst="rect">
                            <a:avLst/>
                          </a:prstGeom>
                          <a:noFill/>
                          <a:ln w="9525" cap="flat" cmpd="sng">
                            <a:solidFill>
                              <a:srgbClr val="000000"/>
                            </a:solidFill>
                            <a:prstDash val="solid"/>
                            <a:miter/>
                            <a:headEnd type="none" w="med" len="med"/>
                            <a:tailEnd type="none" w="med" len="med"/>
                          </a:ln>
                        </wps:spPr>
                        <wps:txbx>
                          <w:txbxContent>
                            <w:p>
                              <w:pPr>
                                <w:ind w:firstLine="0" w:firstLineChars="0"/>
                              </w:pPr>
                              <w:r>
                                <w:rPr>
                                  <w:rFonts w:hint="eastAsia" w:ascii="Arial Unicode MS" w:eastAsia="Arial Unicode MS" w:cs="Arial Unicode MS"/>
                                  <w:kern w:val="0"/>
                                  <w:position w:val="-2"/>
                                  <w:sz w:val="18"/>
                                  <w:szCs w:val="18"/>
                                </w:rPr>
                                <w:t>接受委托</w:t>
                              </w:r>
                            </w:p>
                          </w:txbxContent>
                        </wps:txbx>
                        <wps:bodyPr anchor="ctr" upright="true"/>
                      </wps:wsp>
                      <wps:wsp>
                        <wps:cNvPr id="24" name="矩形 24"/>
                        <wps:cNvSpPr/>
                        <wps:spPr>
                          <a:xfrm>
                            <a:off x="4898" y="-6466"/>
                            <a:ext cx="1844" cy="527"/>
                          </a:xfrm>
                          <a:prstGeom prst="rect">
                            <a:avLst/>
                          </a:prstGeom>
                          <a:noFill/>
                          <a:ln w="9524" cap="flat" cmpd="sng">
                            <a:solidFill>
                              <a:srgbClr val="000000"/>
                            </a:solidFill>
                            <a:prstDash val="solid"/>
                            <a:miter/>
                            <a:headEnd type="none" w="med" len="med"/>
                            <a:tailEnd type="none" w="med" len="med"/>
                          </a:ln>
                        </wps:spPr>
                        <wps:txbx>
                          <w:txbxContent>
                            <w:p>
                              <w:pPr>
                                <w:ind w:firstLine="0" w:firstLineChars="0"/>
                              </w:pPr>
                              <w:r>
                                <w:rPr>
                                  <w:rFonts w:hint="eastAsia" w:ascii="Arial Unicode MS" w:eastAsia="Arial Unicode MS" w:cs="Arial Unicode MS"/>
                                  <w:kern w:val="0"/>
                                  <w:position w:val="-2"/>
                                  <w:sz w:val="18"/>
                                  <w:szCs w:val="18"/>
                                </w:rPr>
                                <w:t>调查、资料收集</w:t>
                              </w:r>
                            </w:p>
                          </w:txbxContent>
                        </wps:txbx>
                        <wps:bodyPr upright="true"/>
                      </wps:wsp>
                      <wpg:grpSp>
                        <wpg:cNvPr id="28" name="组合 28"/>
                        <wpg:cNvGrpSpPr/>
                        <wpg:grpSpPr>
                          <a:xfrm>
                            <a:off x="5830" y="-7003"/>
                            <a:ext cx="120" cy="537"/>
                            <a:chOff x="5830" y="-7003"/>
                            <a:chExt cx="120" cy="537"/>
                          </a:xfrm>
                        </wpg:grpSpPr>
                        <wps:wsp>
                          <wps:cNvPr id="25" name="任意多边形 25"/>
                          <wps:cNvSpPr/>
                          <wps:spPr>
                            <a:xfrm>
                              <a:off x="5830" y="-7003"/>
                              <a:ext cx="120" cy="537"/>
                            </a:xfrm>
                            <a:custGeom>
                              <a:avLst/>
                              <a:gdLst/>
                              <a:ahLst/>
                              <a:cxnLst/>
                              <a:rect l="0" t="0" r="0" b="0"/>
                              <a:pathLst>
                                <a:path w="120" h="537">
                                  <a:moveTo>
                                    <a:pt x="52" y="416"/>
                                  </a:moveTo>
                                  <a:lnTo>
                                    <a:pt x="0" y="416"/>
                                  </a:lnTo>
                                  <a:lnTo>
                                    <a:pt x="60" y="536"/>
                                  </a:lnTo>
                                  <a:lnTo>
                                    <a:pt x="106" y="443"/>
                                  </a:lnTo>
                                  <a:lnTo>
                                    <a:pt x="60" y="443"/>
                                  </a:lnTo>
                                  <a:lnTo>
                                    <a:pt x="55" y="441"/>
                                  </a:lnTo>
                                  <a:lnTo>
                                    <a:pt x="52" y="435"/>
                                  </a:lnTo>
                                  <a:lnTo>
                                    <a:pt x="52" y="416"/>
                                  </a:lnTo>
                                </a:path>
                              </a:pathLst>
                            </a:custGeom>
                            <a:solidFill>
                              <a:srgbClr val="000000"/>
                            </a:solidFill>
                            <a:ln>
                              <a:noFill/>
                            </a:ln>
                          </wps:spPr>
                          <wps:bodyPr upright="true"/>
                        </wps:wsp>
                        <wps:wsp>
                          <wps:cNvPr id="26" name="任意多边形 26"/>
                          <wps:cNvSpPr/>
                          <wps:spPr>
                            <a:xfrm>
                              <a:off x="5830" y="-7003"/>
                              <a:ext cx="120" cy="537"/>
                            </a:xfrm>
                            <a:custGeom>
                              <a:avLst/>
                              <a:gdLst/>
                              <a:ahLst/>
                              <a:cxnLst/>
                              <a:rect l="0" t="0" r="0" b="0"/>
                              <a:pathLst>
                                <a:path w="120" h="537">
                                  <a:moveTo>
                                    <a:pt x="60" y="0"/>
                                  </a:moveTo>
                                  <a:lnTo>
                                    <a:pt x="55" y="2"/>
                                  </a:lnTo>
                                  <a:lnTo>
                                    <a:pt x="52" y="8"/>
                                  </a:lnTo>
                                  <a:lnTo>
                                    <a:pt x="52" y="435"/>
                                  </a:lnTo>
                                  <a:lnTo>
                                    <a:pt x="55" y="441"/>
                                  </a:lnTo>
                                  <a:lnTo>
                                    <a:pt x="60" y="443"/>
                                  </a:lnTo>
                                  <a:lnTo>
                                    <a:pt x="65" y="441"/>
                                  </a:lnTo>
                                  <a:lnTo>
                                    <a:pt x="67" y="435"/>
                                  </a:lnTo>
                                  <a:lnTo>
                                    <a:pt x="67" y="8"/>
                                  </a:lnTo>
                                  <a:lnTo>
                                    <a:pt x="65" y="2"/>
                                  </a:lnTo>
                                  <a:lnTo>
                                    <a:pt x="60" y="0"/>
                                  </a:lnTo>
                                </a:path>
                              </a:pathLst>
                            </a:custGeom>
                            <a:solidFill>
                              <a:srgbClr val="000000"/>
                            </a:solidFill>
                            <a:ln>
                              <a:noFill/>
                            </a:ln>
                          </wps:spPr>
                          <wps:bodyPr upright="true"/>
                        </wps:wsp>
                        <wps:wsp>
                          <wps:cNvPr id="27" name="任意多边形 27"/>
                          <wps:cNvSpPr/>
                          <wps:spPr>
                            <a:xfrm>
                              <a:off x="5830" y="-7003"/>
                              <a:ext cx="120" cy="537"/>
                            </a:xfrm>
                            <a:custGeom>
                              <a:avLst/>
                              <a:gdLst/>
                              <a:ahLst/>
                              <a:cxnLst/>
                              <a:rect l="0" t="0" r="0" b="0"/>
                              <a:pathLst>
                                <a:path w="120" h="537">
                                  <a:moveTo>
                                    <a:pt x="120" y="416"/>
                                  </a:moveTo>
                                  <a:lnTo>
                                    <a:pt x="67" y="416"/>
                                  </a:lnTo>
                                  <a:lnTo>
                                    <a:pt x="67" y="435"/>
                                  </a:lnTo>
                                  <a:lnTo>
                                    <a:pt x="65" y="441"/>
                                  </a:lnTo>
                                  <a:lnTo>
                                    <a:pt x="60" y="443"/>
                                  </a:lnTo>
                                  <a:lnTo>
                                    <a:pt x="106" y="443"/>
                                  </a:lnTo>
                                  <a:lnTo>
                                    <a:pt x="120" y="416"/>
                                  </a:lnTo>
                                </a:path>
                              </a:pathLst>
                            </a:custGeom>
                            <a:solidFill>
                              <a:srgbClr val="000000"/>
                            </a:solidFill>
                            <a:ln>
                              <a:noFill/>
                            </a:ln>
                          </wps:spPr>
                          <wps:bodyPr upright="true"/>
                        </wps:wsp>
                      </wpg:grpSp>
                      <wps:wsp>
                        <wps:cNvPr id="29" name="矩形 29"/>
                        <wps:cNvSpPr/>
                        <wps:spPr>
                          <a:xfrm>
                            <a:off x="5036" y="-5418"/>
                            <a:ext cx="1845" cy="527"/>
                          </a:xfrm>
                          <a:prstGeom prst="rect">
                            <a:avLst/>
                          </a:prstGeom>
                          <a:noFill/>
                          <a:ln w="9524" cap="flat" cmpd="sng">
                            <a:solidFill>
                              <a:srgbClr val="000000"/>
                            </a:solidFill>
                            <a:prstDash val="solid"/>
                            <a:miter/>
                            <a:headEnd type="none" w="med" len="med"/>
                            <a:tailEnd type="none" w="med" len="med"/>
                          </a:ln>
                        </wps:spPr>
                        <wps:txbx>
                          <w:txbxContent>
                            <w:p>
                              <w:pPr>
                                <w:autoSpaceDE w:val="0"/>
                                <w:autoSpaceDN w:val="0"/>
                                <w:adjustRightInd w:val="0"/>
                                <w:ind w:firstLine="180" w:firstLineChars="100"/>
                                <w:rPr>
                                  <w:rFonts w:ascii="Arial Unicode MS" w:eastAsia="Arial Unicode MS" w:cs="Arial Unicode MS"/>
                                  <w:kern w:val="0"/>
                                  <w:sz w:val="18"/>
                                  <w:szCs w:val="18"/>
                                </w:rPr>
                              </w:pPr>
                              <w:r>
                                <w:rPr>
                                  <w:rFonts w:hint="eastAsia" w:ascii="Arial Unicode MS" w:eastAsia="Arial Unicode MS" w:cs="Arial Unicode MS"/>
                                  <w:kern w:val="0"/>
                                  <w:position w:val="-2"/>
                                  <w:sz w:val="18"/>
                                  <w:szCs w:val="18"/>
                                </w:rPr>
                                <w:t>制定检测方案</w:t>
                              </w:r>
                            </w:p>
                            <w:p>
                              <w:pPr>
                                <w:autoSpaceDE w:val="0"/>
                                <w:autoSpaceDN w:val="0"/>
                                <w:adjustRightInd w:val="0"/>
                                <w:spacing w:line="240" w:lineRule="exact"/>
                                <w:ind w:left="3639" w:right="3834" w:firstLine="360"/>
                                <w:jc w:val="center"/>
                                <w:rPr>
                                  <w:rFonts w:ascii="Arial Unicode MS" w:eastAsia="Arial Unicode MS" w:cs="Arial Unicode MS"/>
                                  <w:kern w:val="0"/>
                                  <w:sz w:val="18"/>
                                  <w:szCs w:val="18"/>
                                </w:rPr>
                              </w:pPr>
                              <w:r>
                                <w:rPr>
                                  <w:rFonts w:hint="eastAsia" w:ascii="Arial Unicode MS" w:eastAsia="Arial Unicode MS" w:cs="Arial Unicode MS"/>
                                  <w:kern w:val="0"/>
                                  <w:position w:val="-2"/>
                                  <w:sz w:val="18"/>
                                  <w:szCs w:val="18"/>
                                </w:rPr>
                                <w:t>定检测方案</w:t>
                              </w:r>
                            </w:p>
                            <w:p>
                              <w:pPr>
                                <w:autoSpaceDE w:val="0"/>
                                <w:autoSpaceDN w:val="0"/>
                                <w:adjustRightInd w:val="0"/>
                                <w:spacing w:line="240" w:lineRule="exact"/>
                                <w:ind w:left="3639" w:right="3834" w:firstLine="360"/>
                                <w:jc w:val="center"/>
                                <w:rPr>
                                  <w:rFonts w:ascii="Arial Unicode MS" w:eastAsia="Arial Unicode MS" w:cs="Arial Unicode MS"/>
                                  <w:kern w:val="0"/>
                                  <w:sz w:val="18"/>
                                  <w:szCs w:val="18"/>
                                </w:rPr>
                              </w:pPr>
                              <w:r>
                                <w:rPr>
                                  <w:rFonts w:hint="eastAsia" w:ascii="Arial Unicode MS" w:eastAsia="Arial Unicode MS" w:cs="Arial Unicode MS"/>
                                  <w:kern w:val="0"/>
                                  <w:position w:val="-2"/>
                                  <w:sz w:val="18"/>
                                  <w:szCs w:val="18"/>
                                </w:rPr>
                                <w:t>制定检测方案</w:t>
                              </w:r>
                            </w:p>
                            <w:p>
                              <w:pPr>
                                <w:ind w:firstLine="480"/>
                                <w:jc w:val="center"/>
                              </w:pPr>
                            </w:p>
                          </w:txbxContent>
                        </wps:txbx>
                        <wps:bodyPr upright="true"/>
                      </wps:wsp>
                      <wps:wsp>
                        <wps:cNvPr id="30" name="矩形 30"/>
                        <wps:cNvSpPr/>
                        <wps:spPr>
                          <a:xfrm>
                            <a:off x="5038" y="-4354"/>
                            <a:ext cx="1845" cy="527"/>
                          </a:xfrm>
                          <a:prstGeom prst="rect">
                            <a:avLst/>
                          </a:prstGeom>
                          <a:noFill/>
                          <a:ln w="9524" cap="flat" cmpd="sng">
                            <a:solidFill>
                              <a:srgbClr val="000000"/>
                            </a:solidFill>
                            <a:prstDash val="solid"/>
                            <a:miter/>
                            <a:headEnd type="none" w="med" len="med"/>
                            <a:tailEnd type="none" w="med" len="med"/>
                          </a:ln>
                        </wps:spPr>
                        <wps:txbx>
                          <w:txbxContent>
                            <w:p>
                              <w:pPr>
                                <w:ind w:firstLine="0" w:firstLineChars="0"/>
                              </w:pPr>
                              <w:r>
                                <w:rPr>
                                  <w:rFonts w:hint="eastAsia" w:ascii="Arial Unicode MS" w:eastAsia="Arial Unicode MS" w:cs="Arial Unicode MS"/>
                                  <w:kern w:val="0"/>
                                  <w:position w:val="-3"/>
                                  <w:sz w:val="18"/>
                                  <w:szCs w:val="18"/>
                                </w:rPr>
                                <w:t>检测试验前准备</w:t>
                              </w:r>
                            </w:p>
                          </w:txbxContent>
                        </wps:txbx>
                        <wps:bodyPr upright="true"/>
                      </wps:wsp>
                      <wps:wsp>
                        <wps:cNvPr id="31" name="矩形 31"/>
                        <wps:cNvSpPr/>
                        <wps:spPr>
                          <a:xfrm>
                            <a:off x="5323" y="-3298"/>
                            <a:ext cx="1135" cy="527"/>
                          </a:xfrm>
                          <a:prstGeom prst="rect">
                            <a:avLst/>
                          </a:prstGeom>
                          <a:noFill/>
                          <a:ln w="9525" cap="flat" cmpd="sng">
                            <a:solidFill>
                              <a:srgbClr val="000000"/>
                            </a:solidFill>
                            <a:prstDash val="solid"/>
                            <a:miter/>
                            <a:headEnd type="none" w="med" len="med"/>
                            <a:tailEnd type="none" w="med" len="med"/>
                          </a:ln>
                        </wps:spPr>
                        <wps:txbx>
                          <w:txbxContent>
                            <w:p>
                              <w:pPr>
                                <w:ind w:firstLine="0" w:firstLineChars="0"/>
                              </w:pPr>
                              <w:r>
                                <w:rPr>
                                  <w:rFonts w:hint="eastAsia" w:ascii="Arial Unicode MS" w:eastAsia="Arial Unicode MS" w:cs="Arial Unicode MS"/>
                                  <w:kern w:val="0"/>
                                  <w:position w:val="-3"/>
                                  <w:sz w:val="18"/>
                                  <w:szCs w:val="18"/>
                                </w:rPr>
                                <w:t>现场检测</w:t>
                              </w:r>
                            </w:p>
                          </w:txbxContent>
                        </wps:txbx>
                        <wps:bodyPr upright="true"/>
                      </wps:wsp>
                      <wpg:grpSp>
                        <wpg:cNvPr id="35" name="组合 35"/>
                        <wpg:cNvGrpSpPr/>
                        <wpg:grpSpPr>
                          <a:xfrm>
                            <a:off x="5830" y="-3835"/>
                            <a:ext cx="120" cy="537"/>
                            <a:chOff x="5830" y="-3835"/>
                            <a:chExt cx="120" cy="537"/>
                          </a:xfrm>
                        </wpg:grpSpPr>
                        <wps:wsp>
                          <wps:cNvPr id="32" name="任意多边形 32"/>
                          <wps:cNvSpPr/>
                          <wps:spPr>
                            <a:xfrm>
                              <a:off x="5830" y="-3835"/>
                              <a:ext cx="120" cy="537"/>
                            </a:xfrm>
                            <a:custGeom>
                              <a:avLst/>
                              <a:gdLst/>
                              <a:ahLst/>
                              <a:cxnLst/>
                              <a:rect l="0" t="0" r="0" b="0"/>
                              <a:pathLst>
                                <a:path w="120" h="537">
                                  <a:moveTo>
                                    <a:pt x="52" y="416"/>
                                  </a:moveTo>
                                  <a:lnTo>
                                    <a:pt x="0" y="416"/>
                                  </a:lnTo>
                                  <a:lnTo>
                                    <a:pt x="60" y="536"/>
                                  </a:lnTo>
                                  <a:lnTo>
                                    <a:pt x="106" y="444"/>
                                  </a:lnTo>
                                  <a:lnTo>
                                    <a:pt x="60" y="444"/>
                                  </a:lnTo>
                                  <a:lnTo>
                                    <a:pt x="55" y="441"/>
                                  </a:lnTo>
                                  <a:lnTo>
                                    <a:pt x="52" y="435"/>
                                  </a:lnTo>
                                  <a:lnTo>
                                    <a:pt x="52" y="416"/>
                                  </a:lnTo>
                                </a:path>
                              </a:pathLst>
                            </a:custGeom>
                            <a:solidFill>
                              <a:srgbClr val="000000"/>
                            </a:solidFill>
                            <a:ln>
                              <a:noFill/>
                            </a:ln>
                          </wps:spPr>
                          <wps:bodyPr upright="true"/>
                        </wps:wsp>
                        <wps:wsp>
                          <wps:cNvPr id="33" name="任意多边形 33"/>
                          <wps:cNvSpPr/>
                          <wps:spPr>
                            <a:xfrm>
                              <a:off x="5830" y="-3835"/>
                              <a:ext cx="120" cy="537"/>
                            </a:xfrm>
                            <a:custGeom>
                              <a:avLst/>
                              <a:gdLst/>
                              <a:ahLst/>
                              <a:cxnLst/>
                              <a:rect l="0" t="0" r="0" b="0"/>
                              <a:pathLst>
                                <a:path w="120" h="537">
                                  <a:moveTo>
                                    <a:pt x="60" y="0"/>
                                  </a:moveTo>
                                  <a:lnTo>
                                    <a:pt x="55" y="2"/>
                                  </a:lnTo>
                                  <a:lnTo>
                                    <a:pt x="52" y="8"/>
                                  </a:lnTo>
                                  <a:lnTo>
                                    <a:pt x="52" y="435"/>
                                  </a:lnTo>
                                  <a:lnTo>
                                    <a:pt x="55" y="441"/>
                                  </a:lnTo>
                                  <a:lnTo>
                                    <a:pt x="60" y="444"/>
                                  </a:lnTo>
                                  <a:lnTo>
                                    <a:pt x="65" y="441"/>
                                  </a:lnTo>
                                  <a:lnTo>
                                    <a:pt x="67" y="435"/>
                                  </a:lnTo>
                                  <a:lnTo>
                                    <a:pt x="67" y="8"/>
                                  </a:lnTo>
                                  <a:lnTo>
                                    <a:pt x="65" y="2"/>
                                  </a:lnTo>
                                  <a:lnTo>
                                    <a:pt x="60" y="0"/>
                                  </a:lnTo>
                                </a:path>
                              </a:pathLst>
                            </a:custGeom>
                            <a:solidFill>
                              <a:srgbClr val="000000"/>
                            </a:solidFill>
                            <a:ln>
                              <a:noFill/>
                            </a:ln>
                          </wps:spPr>
                          <wps:bodyPr upright="true"/>
                        </wps:wsp>
                        <wps:wsp>
                          <wps:cNvPr id="34" name="任意多边形 34"/>
                          <wps:cNvSpPr/>
                          <wps:spPr>
                            <a:xfrm>
                              <a:off x="5830" y="-3835"/>
                              <a:ext cx="120" cy="537"/>
                            </a:xfrm>
                            <a:custGeom>
                              <a:avLst/>
                              <a:gdLst/>
                              <a:ahLst/>
                              <a:cxnLst/>
                              <a:rect l="0" t="0" r="0" b="0"/>
                              <a:pathLst>
                                <a:path w="120" h="537">
                                  <a:moveTo>
                                    <a:pt x="120" y="416"/>
                                  </a:moveTo>
                                  <a:lnTo>
                                    <a:pt x="67" y="416"/>
                                  </a:lnTo>
                                  <a:lnTo>
                                    <a:pt x="67" y="435"/>
                                  </a:lnTo>
                                  <a:lnTo>
                                    <a:pt x="65" y="441"/>
                                  </a:lnTo>
                                  <a:lnTo>
                                    <a:pt x="60" y="444"/>
                                  </a:lnTo>
                                  <a:lnTo>
                                    <a:pt x="106" y="444"/>
                                  </a:lnTo>
                                  <a:lnTo>
                                    <a:pt x="120" y="416"/>
                                  </a:lnTo>
                                </a:path>
                              </a:pathLst>
                            </a:custGeom>
                            <a:solidFill>
                              <a:srgbClr val="000000"/>
                            </a:solidFill>
                            <a:ln>
                              <a:noFill/>
                            </a:ln>
                          </wps:spPr>
                          <wps:bodyPr upright="true"/>
                        </wps:wsp>
                      </wpg:grpSp>
                      <wpg:grpSp>
                        <wpg:cNvPr id="39" name="组合 39"/>
                        <wpg:cNvGrpSpPr/>
                        <wpg:grpSpPr>
                          <a:xfrm>
                            <a:off x="5830" y="-4891"/>
                            <a:ext cx="120" cy="537"/>
                            <a:chOff x="5830" y="-4891"/>
                            <a:chExt cx="120" cy="537"/>
                          </a:xfrm>
                        </wpg:grpSpPr>
                        <wps:wsp>
                          <wps:cNvPr id="36" name="任意多边形 36"/>
                          <wps:cNvSpPr/>
                          <wps:spPr>
                            <a:xfrm>
                              <a:off x="5830" y="-4891"/>
                              <a:ext cx="120" cy="537"/>
                            </a:xfrm>
                            <a:custGeom>
                              <a:avLst/>
                              <a:gdLst/>
                              <a:ahLst/>
                              <a:cxnLst/>
                              <a:rect l="0" t="0" r="0" b="0"/>
                              <a:pathLst>
                                <a:path w="120" h="537">
                                  <a:moveTo>
                                    <a:pt x="52" y="416"/>
                                  </a:moveTo>
                                  <a:lnTo>
                                    <a:pt x="0" y="416"/>
                                  </a:lnTo>
                                  <a:lnTo>
                                    <a:pt x="60" y="536"/>
                                  </a:lnTo>
                                  <a:lnTo>
                                    <a:pt x="106" y="443"/>
                                  </a:lnTo>
                                  <a:lnTo>
                                    <a:pt x="60" y="443"/>
                                  </a:lnTo>
                                  <a:lnTo>
                                    <a:pt x="55" y="441"/>
                                  </a:lnTo>
                                  <a:lnTo>
                                    <a:pt x="52" y="435"/>
                                  </a:lnTo>
                                  <a:lnTo>
                                    <a:pt x="52" y="416"/>
                                  </a:lnTo>
                                </a:path>
                              </a:pathLst>
                            </a:custGeom>
                            <a:solidFill>
                              <a:srgbClr val="000000"/>
                            </a:solidFill>
                            <a:ln>
                              <a:noFill/>
                            </a:ln>
                          </wps:spPr>
                          <wps:bodyPr upright="true"/>
                        </wps:wsp>
                        <wps:wsp>
                          <wps:cNvPr id="37" name="任意多边形 37"/>
                          <wps:cNvSpPr/>
                          <wps:spPr>
                            <a:xfrm>
                              <a:off x="5830" y="-4891"/>
                              <a:ext cx="120" cy="537"/>
                            </a:xfrm>
                            <a:custGeom>
                              <a:avLst/>
                              <a:gdLst/>
                              <a:ahLst/>
                              <a:cxnLst/>
                              <a:rect l="0" t="0" r="0" b="0"/>
                              <a:pathLst>
                                <a:path w="120" h="537">
                                  <a:moveTo>
                                    <a:pt x="60" y="0"/>
                                  </a:moveTo>
                                  <a:lnTo>
                                    <a:pt x="55" y="2"/>
                                  </a:lnTo>
                                  <a:lnTo>
                                    <a:pt x="52" y="8"/>
                                  </a:lnTo>
                                  <a:lnTo>
                                    <a:pt x="52" y="435"/>
                                  </a:lnTo>
                                  <a:lnTo>
                                    <a:pt x="55" y="441"/>
                                  </a:lnTo>
                                  <a:lnTo>
                                    <a:pt x="60" y="443"/>
                                  </a:lnTo>
                                  <a:lnTo>
                                    <a:pt x="65" y="441"/>
                                  </a:lnTo>
                                  <a:lnTo>
                                    <a:pt x="67" y="435"/>
                                  </a:lnTo>
                                  <a:lnTo>
                                    <a:pt x="67" y="8"/>
                                  </a:lnTo>
                                  <a:lnTo>
                                    <a:pt x="65" y="2"/>
                                  </a:lnTo>
                                  <a:lnTo>
                                    <a:pt x="60" y="0"/>
                                  </a:lnTo>
                                </a:path>
                              </a:pathLst>
                            </a:custGeom>
                            <a:solidFill>
                              <a:srgbClr val="000000"/>
                            </a:solidFill>
                            <a:ln>
                              <a:noFill/>
                            </a:ln>
                          </wps:spPr>
                          <wps:bodyPr upright="true"/>
                        </wps:wsp>
                        <wps:wsp>
                          <wps:cNvPr id="38" name="任意多边形 38"/>
                          <wps:cNvSpPr/>
                          <wps:spPr>
                            <a:xfrm>
                              <a:off x="5830" y="-4891"/>
                              <a:ext cx="120" cy="537"/>
                            </a:xfrm>
                            <a:custGeom>
                              <a:avLst/>
                              <a:gdLst/>
                              <a:ahLst/>
                              <a:cxnLst/>
                              <a:rect l="0" t="0" r="0" b="0"/>
                              <a:pathLst>
                                <a:path w="120" h="537">
                                  <a:moveTo>
                                    <a:pt x="120" y="416"/>
                                  </a:moveTo>
                                  <a:lnTo>
                                    <a:pt x="67" y="416"/>
                                  </a:lnTo>
                                  <a:lnTo>
                                    <a:pt x="67" y="435"/>
                                  </a:lnTo>
                                  <a:lnTo>
                                    <a:pt x="65" y="441"/>
                                  </a:lnTo>
                                  <a:lnTo>
                                    <a:pt x="60" y="443"/>
                                  </a:lnTo>
                                  <a:lnTo>
                                    <a:pt x="106" y="443"/>
                                  </a:lnTo>
                                  <a:lnTo>
                                    <a:pt x="120" y="416"/>
                                  </a:lnTo>
                                </a:path>
                              </a:pathLst>
                            </a:custGeom>
                            <a:solidFill>
                              <a:srgbClr val="000000"/>
                            </a:solidFill>
                            <a:ln>
                              <a:noFill/>
                            </a:ln>
                          </wps:spPr>
                          <wps:bodyPr upright="true"/>
                        </wps:wsp>
                      </wpg:grpSp>
                      <wpg:grpSp>
                        <wpg:cNvPr id="43" name="组合 43"/>
                        <wpg:cNvGrpSpPr/>
                        <wpg:grpSpPr>
                          <a:xfrm>
                            <a:off x="5830" y="-5947"/>
                            <a:ext cx="120" cy="537"/>
                            <a:chOff x="5830" y="-5947"/>
                            <a:chExt cx="120" cy="537"/>
                          </a:xfrm>
                        </wpg:grpSpPr>
                        <wps:wsp>
                          <wps:cNvPr id="40" name="任意多边形 40"/>
                          <wps:cNvSpPr/>
                          <wps:spPr>
                            <a:xfrm>
                              <a:off x="5830" y="-5947"/>
                              <a:ext cx="120" cy="537"/>
                            </a:xfrm>
                            <a:custGeom>
                              <a:avLst/>
                              <a:gdLst/>
                              <a:ahLst/>
                              <a:cxnLst/>
                              <a:rect l="0" t="0" r="0" b="0"/>
                              <a:pathLst>
                                <a:path w="120" h="537">
                                  <a:moveTo>
                                    <a:pt x="52" y="416"/>
                                  </a:moveTo>
                                  <a:lnTo>
                                    <a:pt x="0" y="416"/>
                                  </a:lnTo>
                                  <a:lnTo>
                                    <a:pt x="60" y="536"/>
                                  </a:lnTo>
                                  <a:lnTo>
                                    <a:pt x="106" y="444"/>
                                  </a:lnTo>
                                  <a:lnTo>
                                    <a:pt x="60" y="444"/>
                                  </a:lnTo>
                                  <a:lnTo>
                                    <a:pt x="55" y="441"/>
                                  </a:lnTo>
                                  <a:lnTo>
                                    <a:pt x="52" y="435"/>
                                  </a:lnTo>
                                  <a:lnTo>
                                    <a:pt x="52" y="416"/>
                                  </a:lnTo>
                                </a:path>
                              </a:pathLst>
                            </a:custGeom>
                            <a:solidFill>
                              <a:srgbClr val="000000"/>
                            </a:solidFill>
                            <a:ln>
                              <a:noFill/>
                            </a:ln>
                          </wps:spPr>
                          <wps:bodyPr upright="true"/>
                        </wps:wsp>
                        <wps:wsp>
                          <wps:cNvPr id="41" name="任意多边形 41"/>
                          <wps:cNvSpPr/>
                          <wps:spPr>
                            <a:xfrm>
                              <a:off x="5830" y="-5947"/>
                              <a:ext cx="120" cy="537"/>
                            </a:xfrm>
                            <a:custGeom>
                              <a:avLst/>
                              <a:gdLst/>
                              <a:ahLst/>
                              <a:cxnLst/>
                              <a:rect l="0" t="0" r="0" b="0"/>
                              <a:pathLst>
                                <a:path w="120" h="537">
                                  <a:moveTo>
                                    <a:pt x="60" y="0"/>
                                  </a:moveTo>
                                  <a:lnTo>
                                    <a:pt x="55" y="2"/>
                                  </a:lnTo>
                                  <a:lnTo>
                                    <a:pt x="52" y="8"/>
                                  </a:lnTo>
                                  <a:lnTo>
                                    <a:pt x="52" y="435"/>
                                  </a:lnTo>
                                  <a:lnTo>
                                    <a:pt x="55" y="441"/>
                                  </a:lnTo>
                                  <a:lnTo>
                                    <a:pt x="60" y="444"/>
                                  </a:lnTo>
                                  <a:lnTo>
                                    <a:pt x="65" y="441"/>
                                  </a:lnTo>
                                  <a:lnTo>
                                    <a:pt x="67" y="435"/>
                                  </a:lnTo>
                                  <a:lnTo>
                                    <a:pt x="67" y="8"/>
                                  </a:lnTo>
                                  <a:lnTo>
                                    <a:pt x="65" y="2"/>
                                  </a:lnTo>
                                  <a:lnTo>
                                    <a:pt x="60" y="0"/>
                                  </a:lnTo>
                                </a:path>
                              </a:pathLst>
                            </a:custGeom>
                            <a:solidFill>
                              <a:srgbClr val="000000"/>
                            </a:solidFill>
                            <a:ln>
                              <a:noFill/>
                            </a:ln>
                          </wps:spPr>
                          <wps:bodyPr upright="true"/>
                        </wps:wsp>
                        <wps:wsp>
                          <wps:cNvPr id="42" name="任意多边形 42"/>
                          <wps:cNvSpPr/>
                          <wps:spPr>
                            <a:xfrm>
                              <a:off x="5830" y="-5947"/>
                              <a:ext cx="120" cy="537"/>
                            </a:xfrm>
                            <a:custGeom>
                              <a:avLst/>
                              <a:gdLst/>
                              <a:ahLst/>
                              <a:cxnLst/>
                              <a:rect l="0" t="0" r="0" b="0"/>
                              <a:pathLst>
                                <a:path w="120" h="537">
                                  <a:moveTo>
                                    <a:pt x="120" y="416"/>
                                  </a:moveTo>
                                  <a:lnTo>
                                    <a:pt x="67" y="416"/>
                                  </a:lnTo>
                                  <a:lnTo>
                                    <a:pt x="67" y="435"/>
                                  </a:lnTo>
                                  <a:lnTo>
                                    <a:pt x="65" y="441"/>
                                  </a:lnTo>
                                  <a:lnTo>
                                    <a:pt x="60" y="444"/>
                                  </a:lnTo>
                                  <a:lnTo>
                                    <a:pt x="106" y="444"/>
                                  </a:lnTo>
                                  <a:lnTo>
                                    <a:pt x="120" y="416"/>
                                  </a:lnTo>
                                </a:path>
                              </a:pathLst>
                            </a:custGeom>
                            <a:solidFill>
                              <a:srgbClr val="000000"/>
                            </a:solidFill>
                            <a:ln>
                              <a:noFill/>
                            </a:ln>
                          </wps:spPr>
                          <wps:bodyPr upright="true"/>
                        </wps:wsp>
                      </wpg:grpSp>
                      <wps:wsp>
                        <wps:cNvPr id="44" name="矩形 44"/>
                        <wps:cNvSpPr/>
                        <wps:spPr>
                          <a:xfrm>
                            <a:off x="4755" y="-2242"/>
                            <a:ext cx="2270" cy="527"/>
                          </a:xfrm>
                          <a:prstGeom prst="rect">
                            <a:avLst/>
                          </a:prstGeom>
                          <a:noFill/>
                          <a:ln w="9525" cap="flat" cmpd="sng">
                            <a:solidFill>
                              <a:srgbClr val="000000"/>
                            </a:solidFill>
                            <a:prstDash val="solid"/>
                            <a:miter/>
                            <a:headEnd type="none" w="med" len="med"/>
                            <a:tailEnd type="none" w="med" len="med"/>
                          </a:ln>
                        </wps:spPr>
                        <wps:txbx>
                          <w:txbxContent>
                            <w:p>
                              <w:pPr>
                                <w:ind w:firstLine="0" w:firstLineChars="0"/>
                              </w:pPr>
                              <w:r>
                                <w:rPr>
                                  <w:rFonts w:hint="eastAsia" w:ascii="Arial Unicode MS" w:eastAsia="Arial Unicode MS" w:cs="Arial Unicode MS"/>
                                  <w:kern w:val="0"/>
                                  <w:position w:val="-3"/>
                                  <w:sz w:val="18"/>
                                  <w:szCs w:val="18"/>
                                </w:rPr>
                                <w:t>数据分析和结果评价</w:t>
                              </w:r>
                            </w:p>
                          </w:txbxContent>
                        </wps:txbx>
                        <wps:bodyPr upright="true"/>
                      </wps:wsp>
                      <wpg:grpSp>
                        <wpg:cNvPr id="48" name="组合 48"/>
                        <wpg:cNvGrpSpPr/>
                        <wpg:grpSpPr>
                          <a:xfrm>
                            <a:off x="5830" y="-2779"/>
                            <a:ext cx="120" cy="537"/>
                            <a:chOff x="5830" y="-2779"/>
                            <a:chExt cx="120" cy="537"/>
                          </a:xfrm>
                        </wpg:grpSpPr>
                        <wps:wsp>
                          <wps:cNvPr id="45" name="任意多边形 45"/>
                          <wps:cNvSpPr/>
                          <wps:spPr>
                            <a:xfrm>
                              <a:off x="5830" y="-2779"/>
                              <a:ext cx="120" cy="537"/>
                            </a:xfrm>
                            <a:custGeom>
                              <a:avLst/>
                              <a:gdLst/>
                              <a:ahLst/>
                              <a:cxnLst/>
                              <a:rect l="0" t="0" r="0" b="0"/>
                              <a:pathLst>
                                <a:path w="120" h="537">
                                  <a:moveTo>
                                    <a:pt x="52" y="416"/>
                                  </a:moveTo>
                                  <a:lnTo>
                                    <a:pt x="0" y="416"/>
                                  </a:lnTo>
                                  <a:lnTo>
                                    <a:pt x="60" y="536"/>
                                  </a:lnTo>
                                  <a:lnTo>
                                    <a:pt x="106" y="444"/>
                                  </a:lnTo>
                                  <a:lnTo>
                                    <a:pt x="60" y="444"/>
                                  </a:lnTo>
                                  <a:lnTo>
                                    <a:pt x="55" y="441"/>
                                  </a:lnTo>
                                  <a:lnTo>
                                    <a:pt x="52" y="435"/>
                                  </a:lnTo>
                                  <a:lnTo>
                                    <a:pt x="52" y="416"/>
                                  </a:lnTo>
                                </a:path>
                              </a:pathLst>
                            </a:custGeom>
                            <a:solidFill>
                              <a:srgbClr val="000000"/>
                            </a:solidFill>
                            <a:ln>
                              <a:noFill/>
                            </a:ln>
                          </wps:spPr>
                          <wps:bodyPr upright="true"/>
                        </wps:wsp>
                        <wps:wsp>
                          <wps:cNvPr id="46" name="任意多边形 46"/>
                          <wps:cNvSpPr/>
                          <wps:spPr>
                            <a:xfrm>
                              <a:off x="5830" y="-2779"/>
                              <a:ext cx="120" cy="537"/>
                            </a:xfrm>
                            <a:custGeom>
                              <a:avLst/>
                              <a:gdLst/>
                              <a:ahLst/>
                              <a:cxnLst/>
                              <a:rect l="0" t="0" r="0" b="0"/>
                              <a:pathLst>
                                <a:path w="120" h="537">
                                  <a:moveTo>
                                    <a:pt x="60" y="0"/>
                                  </a:moveTo>
                                  <a:lnTo>
                                    <a:pt x="55" y="2"/>
                                  </a:lnTo>
                                  <a:lnTo>
                                    <a:pt x="52" y="8"/>
                                  </a:lnTo>
                                  <a:lnTo>
                                    <a:pt x="52" y="435"/>
                                  </a:lnTo>
                                  <a:lnTo>
                                    <a:pt x="55" y="441"/>
                                  </a:lnTo>
                                  <a:lnTo>
                                    <a:pt x="60" y="444"/>
                                  </a:lnTo>
                                  <a:lnTo>
                                    <a:pt x="65" y="441"/>
                                  </a:lnTo>
                                  <a:lnTo>
                                    <a:pt x="67" y="435"/>
                                  </a:lnTo>
                                  <a:lnTo>
                                    <a:pt x="67" y="8"/>
                                  </a:lnTo>
                                  <a:lnTo>
                                    <a:pt x="65" y="2"/>
                                  </a:lnTo>
                                  <a:lnTo>
                                    <a:pt x="60" y="0"/>
                                  </a:lnTo>
                                </a:path>
                              </a:pathLst>
                            </a:custGeom>
                            <a:solidFill>
                              <a:srgbClr val="000000"/>
                            </a:solidFill>
                            <a:ln>
                              <a:noFill/>
                            </a:ln>
                          </wps:spPr>
                          <wps:bodyPr upright="true"/>
                        </wps:wsp>
                        <wps:wsp>
                          <wps:cNvPr id="47" name="任意多边形 47"/>
                          <wps:cNvSpPr/>
                          <wps:spPr>
                            <a:xfrm>
                              <a:off x="5830" y="-2779"/>
                              <a:ext cx="120" cy="537"/>
                            </a:xfrm>
                            <a:custGeom>
                              <a:avLst/>
                              <a:gdLst/>
                              <a:ahLst/>
                              <a:cxnLst/>
                              <a:rect l="0" t="0" r="0" b="0"/>
                              <a:pathLst>
                                <a:path w="120" h="537">
                                  <a:moveTo>
                                    <a:pt x="120" y="416"/>
                                  </a:moveTo>
                                  <a:lnTo>
                                    <a:pt x="67" y="416"/>
                                  </a:lnTo>
                                  <a:lnTo>
                                    <a:pt x="67" y="435"/>
                                  </a:lnTo>
                                  <a:lnTo>
                                    <a:pt x="65" y="441"/>
                                  </a:lnTo>
                                  <a:lnTo>
                                    <a:pt x="60" y="444"/>
                                  </a:lnTo>
                                  <a:lnTo>
                                    <a:pt x="106" y="444"/>
                                  </a:lnTo>
                                  <a:lnTo>
                                    <a:pt x="120" y="416"/>
                                  </a:lnTo>
                                </a:path>
                              </a:pathLst>
                            </a:custGeom>
                            <a:solidFill>
                              <a:srgbClr val="000000"/>
                            </a:solidFill>
                            <a:ln>
                              <a:noFill/>
                            </a:ln>
                          </wps:spPr>
                          <wps:bodyPr upright="true"/>
                        </wps:wsp>
                      </wpg:grpSp>
                      <wps:wsp>
                        <wps:cNvPr id="49" name="矩形 49"/>
                        <wps:cNvSpPr/>
                        <wps:spPr>
                          <a:xfrm>
                            <a:off x="5323" y="-1186"/>
                            <a:ext cx="1135" cy="527"/>
                          </a:xfrm>
                          <a:prstGeom prst="rect">
                            <a:avLst/>
                          </a:prstGeom>
                          <a:noFill/>
                          <a:ln w="9525" cap="flat" cmpd="sng">
                            <a:solidFill>
                              <a:srgbClr val="000000"/>
                            </a:solidFill>
                            <a:prstDash val="solid"/>
                            <a:miter/>
                            <a:headEnd type="none" w="med" len="med"/>
                            <a:tailEnd type="none" w="med" len="med"/>
                          </a:ln>
                        </wps:spPr>
                        <wps:txbx>
                          <w:txbxContent>
                            <w:p>
                              <w:pPr>
                                <w:ind w:firstLine="0" w:firstLineChars="0"/>
                              </w:pPr>
                              <w:r>
                                <w:rPr>
                                  <w:rFonts w:hint="eastAsia" w:ascii="Arial Unicode MS" w:eastAsia="Arial Unicode MS" w:cs="Arial Unicode MS"/>
                                  <w:kern w:val="0"/>
                                  <w:position w:val="-3"/>
                                  <w:sz w:val="18"/>
                                  <w:szCs w:val="18"/>
                                </w:rPr>
                                <w:t>检测报告</w:t>
                              </w:r>
                            </w:p>
                          </w:txbxContent>
                        </wps:txbx>
                        <wps:bodyPr upright="true"/>
                      </wps:wsp>
                      <wpg:grpSp>
                        <wpg:cNvPr id="53" name="组合 53"/>
                        <wpg:cNvGrpSpPr/>
                        <wpg:grpSpPr>
                          <a:xfrm>
                            <a:off x="5830" y="-1723"/>
                            <a:ext cx="120" cy="537"/>
                            <a:chOff x="5830" y="-1723"/>
                            <a:chExt cx="120" cy="537"/>
                          </a:xfrm>
                        </wpg:grpSpPr>
                        <wps:wsp>
                          <wps:cNvPr id="50" name="任意多边形 50"/>
                          <wps:cNvSpPr/>
                          <wps:spPr>
                            <a:xfrm>
                              <a:off x="5830" y="-1723"/>
                              <a:ext cx="120" cy="537"/>
                            </a:xfrm>
                            <a:custGeom>
                              <a:avLst/>
                              <a:gdLst/>
                              <a:ahLst/>
                              <a:cxnLst/>
                              <a:rect l="0" t="0" r="0" b="0"/>
                              <a:pathLst>
                                <a:path w="120" h="537">
                                  <a:moveTo>
                                    <a:pt x="52" y="416"/>
                                  </a:moveTo>
                                  <a:lnTo>
                                    <a:pt x="0" y="416"/>
                                  </a:lnTo>
                                  <a:lnTo>
                                    <a:pt x="60" y="536"/>
                                  </a:lnTo>
                                  <a:lnTo>
                                    <a:pt x="106" y="443"/>
                                  </a:lnTo>
                                  <a:lnTo>
                                    <a:pt x="60" y="443"/>
                                  </a:lnTo>
                                  <a:lnTo>
                                    <a:pt x="55" y="441"/>
                                  </a:lnTo>
                                  <a:lnTo>
                                    <a:pt x="52" y="435"/>
                                  </a:lnTo>
                                  <a:lnTo>
                                    <a:pt x="52" y="416"/>
                                  </a:lnTo>
                                </a:path>
                              </a:pathLst>
                            </a:custGeom>
                            <a:solidFill>
                              <a:srgbClr val="000000"/>
                            </a:solidFill>
                            <a:ln>
                              <a:noFill/>
                            </a:ln>
                          </wps:spPr>
                          <wps:bodyPr upright="true"/>
                        </wps:wsp>
                        <wps:wsp>
                          <wps:cNvPr id="51" name="任意多边形 51"/>
                          <wps:cNvSpPr/>
                          <wps:spPr>
                            <a:xfrm>
                              <a:off x="5830" y="-1723"/>
                              <a:ext cx="120" cy="537"/>
                            </a:xfrm>
                            <a:custGeom>
                              <a:avLst/>
                              <a:gdLst/>
                              <a:ahLst/>
                              <a:cxnLst/>
                              <a:rect l="0" t="0" r="0" b="0"/>
                              <a:pathLst>
                                <a:path w="120" h="537">
                                  <a:moveTo>
                                    <a:pt x="60" y="0"/>
                                  </a:moveTo>
                                  <a:lnTo>
                                    <a:pt x="55" y="2"/>
                                  </a:lnTo>
                                  <a:lnTo>
                                    <a:pt x="52" y="8"/>
                                  </a:lnTo>
                                  <a:lnTo>
                                    <a:pt x="52" y="435"/>
                                  </a:lnTo>
                                  <a:lnTo>
                                    <a:pt x="55" y="441"/>
                                  </a:lnTo>
                                  <a:lnTo>
                                    <a:pt x="60" y="443"/>
                                  </a:lnTo>
                                  <a:lnTo>
                                    <a:pt x="65" y="441"/>
                                  </a:lnTo>
                                  <a:lnTo>
                                    <a:pt x="67" y="435"/>
                                  </a:lnTo>
                                  <a:lnTo>
                                    <a:pt x="67" y="8"/>
                                  </a:lnTo>
                                  <a:lnTo>
                                    <a:pt x="65" y="2"/>
                                  </a:lnTo>
                                  <a:lnTo>
                                    <a:pt x="60" y="0"/>
                                  </a:lnTo>
                                </a:path>
                              </a:pathLst>
                            </a:custGeom>
                            <a:solidFill>
                              <a:srgbClr val="000000"/>
                            </a:solidFill>
                            <a:ln>
                              <a:noFill/>
                            </a:ln>
                          </wps:spPr>
                          <wps:bodyPr upright="true"/>
                        </wps:wsp>
                        <wps:wsp>
                          <wps:cNvPr id="52" name="任意多边形 52"/>
                          <wps:cNvSpPr/>
                          <wps:spPr>
                            <a:xfrm>
                              <a:off x="5830" y="-1723"/>
                              <a:ext cx="120" cy="537"/>
                            </a:xfrm>
                            <a:custGeom>
                              <a:avLst/>
                              <a:gdLst/>
                              <a:ahLst/>
                              <a:cxnLst/>
                              <a:rect l="0" t="0" r="0" b="0"/>
                              <a:pathLst>
                                <a:path w="120" h="537">
                                  <a:moveTo>
                                    <a:pt x="120" y="416"/>
                                  </a:moveTo>
                                  <a:lnTo>
                                    <a:pt x="67" y="416"/>
                                  </a:lnTo>
                                  <a:lnTo>
                                    <a:pt x="67" y="435"/>
                                  </a:lnTo>
                                  <a:lnTo>
                                    <a:pt x="65" y="441"/>
                                  </a:lnTo>
                                  <a:lnTo>
                                    <a:pt x="60" y="443"/>
                                  </a:lnTo>
                                  <a:lnTo>
                                    <a:pt x="106" y="443"/>
                                  </a:lnTo>
                                  <a:lnTo>
                                    <a:pt x="120" y="416"/>
                                  </a:lnTo>
                                </a:path>
                              </a:pathLst>
                            </a:custGeom>
                            <a:solidFill>
                              <a:srgbClr val="000000"/>
                            </a:solidFill>
                            <a:ln>
                              <a:noFill/>
                            </a:ln>
                          </wps:spPr>
                          <wps:bodyPr upright="true"/>
                        </wps:wsp>
                      </wpg:grpSp>
                      <wps:wsp>
                        <wps:cNvPr id="54" name="矩形 54"/>
                        <wps:cNvSpPr/>
                        <wps:spPr>
                          <a:xfrm>
                            <a:off x="7593" y="-3298"/>
                            <a:ext cx="1987" cy="527"/>
                          </a:xfrm>
                          <a:prstGeom prst="rect">
                            <a:avLst/>
                          </a:prstGeom>
                          <a:noFill/>
                          <a:ln w="9525" cap="flat" cmpd="sng">
                            <a:solidFill>
                              <a:srgbClr val="000000"/>
                            </a:solidFill>
                            <a:prstDash val="solid"/>
                            <a:miter/>
                            <a:headEnd type="none" w="med" len="med"/>
                            <a:tailEnd type="none" w="med" len="med"/>
                          </a:ln>
                        </wps:spPr>
                        <wps:txbx>
                          <w:txbxContent>
                            <w:p>
                              <w:pPr>
                                <w:ind w:firstLine="0" w:firstLineChars="0"/>
                              </w:pPr>
                              <w:r>
                                <w:rPr>
                                  <w:rFonts w:hint="eastAsia" w:ascii="Arial Unicode MS" w:eastAsia="Arial Unicode MS" w:cs="Arial Unicode MS"/>
                                  <w:kern w:val="0"/>
                                  <w:position w:val="-3"/>
                                  <w:sz w:val="18"/>
                                  <w:szCs w:val="18"/>
                                </w:rPr>
                                <w:t>验证检测、扩大检测</w:t>
                              </w:r>
                            </w:p>
                          </w:txbxContent>
                        </wps:txbx>
                        <wps:bodyPr upright="true"/>
                      </wps:wsp>
                      <wps:wsp>
                        <wps:cNvPr id="55" name="任意多边形 55"/>
                        <wps:cNvSpPr/>
                        <wps:spPr>
                          <a:xfrm>
                            <a:off x="8588" y="-7258"/>
                            <a:ext cx="20" cy="3960"/>
                          </a:xfrm>
                          <a:custGeom>
                            <a:avLst/>
                            <a:gdLst/>
                            <a:ahLst/>
                            <a:cxnLst/>
                            <a:rect l="0" t="0" r="0" b="0"/>
                            <a:pathLst>
                              <a:path w="20" h="3960">
                                <a:moveTo>
                                  <a:pt x="0" y="3960"/>
                                </a:moveTo>
                                <a:lnTo>
                                  <a:pt x="0" y="0"/>
                                </a:lnTo>
                              </a:path>
                            </a:pathLst>
                          </a:custGeom>
                          <a:noFill/>
                          <a:ln w="9525" cap="flat" cmpd="sng">
                            <a:solidFill>
                              <a:srgbClr val="000000"/>
                            </a:solidFill>
                            <a:prstDash val="solid"/>
                            <a:headEnd type="none" w="med" len="med"/>
                            <a:tailEnd type="none" w="med" len="med"/>
                          </a:ln>
                        </wps:spPr>
                        <wps:bodyPr upright="true"/>
                      </wps:wsp>
                      <wpg:grpSp>
                        <wpg:cNvPr id="59" name="组合 59"/>
                        <wpg:cNvGrpSpPr/>
                        <wpg:grpSpPr>
                          <a:xfrm>
                            <a:off x="6458" y="-7318"/>
                            <a:ext cx="2137" cy="120"/>
                            <a:chOff x="6458" y="-7318"/>
                            <a:chExt cx="2137" cy="120"/>
                          </a:xfrm>
                        </wpg:grpSpPr>
                        <wps:wsp>
                          <wps:cNvPr id="56" name="任意多边形 56"/>
                          <wps:cNvSpPr/>
                          <wps:spPr>
                            <a:xfrm>
                              <a:off x="6458" y="-7318"/>
                              <a:ext cx="2137" cy="120"/>
                            </a:xfrm>
                            <a:custGeom>
                              <a:avLst/>
                              <a:gdLst/>
                              <a:ahLst/>
                              <a:cxnLst/>
                              <a:rect l="0" t="0" r="0" b="0"/>
                              <a:pathLst>
                                <a:path w="2137" h="120">
                                  <a:moveTo>
                                    <a:pt x="120" y="0"/>
                                  </a:moveTo>
                                  <a:lnTo>
                                    <a:pt x="0" y="60"/>
                                  </a:lnTo>
                                  <a:lnTo>
                                    <a:pt x="120" y="120"/>
                                  </a:lnTo>
                                  <a:lnTo>
                                    <a:pt x="120" y="67"/>
                                  </a:lnTo>
                                  <a:lnTo>
                                    <a:pt x="100" y="67"/>
                                  </a:lnTo>
                                  <a:lnTo>
                                    <a:pt x="94" y="64"/>
                                  </a:lnTo>
                                  <a:lnTo>
                                    <a:pt x="93" y="60"/>
                                  </a:lnTo>
                                  <a:lnTo>
                                    <a:pt x="94" y="53"/>
                                  </a:lnTo>
                                  <a:lnTo>
                                    <a:pt x="100" y="51"/>
                                  </a:lnTo>
                                  <a:lnTo>
                                    <a:pt x="120" y="51"/>
                                  </a:lnTo>
                                  <a:lnTo>
                                    <a:pt x="120" y="0"/>
                                  </a:lnTo>
                                </a:path>
                              </a:pathLst>
                            </a:custGeom>
                            <a:solidFill>
                              <a:srgbClr val="000000"/>
                            </a:solidFill>
                            <a:ln>
                              <a:noFill/>
                            </a:ln>
                          </wps:spPr>
                          <wps:bodyPr upright="true"/>
                        </wps:wsp>
                        <wps:wsp>
                          <wps:cNvPr id="57" name="任意多边形 57"/>
                          <wps:cNvSpPr/>
                          <wps:spPr>
                            <a:xfrm>
                              <a:off x="6458" y="-7318"/>
                              <a:ext cx="2137" cy="120"/>
                            </a:xfrm>
                            <a:custGeom>
                              <a:avLst/>
                              <a:gdLst/>
                              <a:ahLst/>
                              <a:cxnLst/>
                              <a:rect l="0" t="0" r="0" b="0"/>
                              <a:pathLst>
                                <a:path w="2137" h="120">
                                  <a:moveTo>
                                    <a:pt x="120" y="51"/>
                                  </a:moveTo>
                                  <a:lnTo>
                                    <a:pt x="100" y="51"/>
                                  </a:lnTo>
                                  <a:lnTo>
                                    <a:pt x="94" y="53"/>
                                  </a:lnTo>
                                  <a:lnTo>
                                    <a:pt x="93" y="60"/>
                                  </a:lnTo>
                                  <a:lnTo>
                                    <a:pt x="94" y="64"/>
                                  </a:lnTo>
                                  <a:lnTo>
                                    <a:pt x="100" y="67"/>
                                  </a:lnTo>
                                  <a:lnTo>
                                    <a:pt x="120" y="67"/>
                                  </a:lnTo>
                                  <a:lnTo>
                                    <a:pt x="120" y="51"/>
                                  </a:lnTo>
                                </a:path>
                              </a:pathLst>
                            </a:custGeom>
                            <a:solidFill>
                              <a:srgbClr val="000000"/>
                            </a:solidFill>
                            <a:ln>
                              <a:noFill/>
                            </a:ln>
                          </wps:spPr>
                          <wps:bodyPr upright="true"/>
                        </wps:wsp>
                        <wps:wsp>
                          <wps:cNvPr id="58" name="任意多边形 58"/>
                          <wps:cNvSpPr/>
                          <wps:spPr>
                            <a:xfrm>
                              <a:off x="6458" y="-7318"/>
                              <a:ext cx="2137" cy="120"/>
                            </a:xfrm>
                            <a:custGeom>
                              <a:avLst/>
                              <a:gdLst/>
                              <a:ahLst/>
                              <a:cxnLst/>
                              <a:rect l="0" t="0" r="0" b="0"/>
                              <a:pathLst>
                                <a:path w="2137" h="120">
                                  <a:moveTo>
                                    <a:pt x="2130" y="51"/>
                                  </a:moveTo>
                                  <a:lnTo>
                                    <a:pt x="120" y="51"/>
                                  </a:lnTo>
                                  <a:lnTo>
                                    <a:pt x="120" y="67"/>
                                  </a:lnTo>
                                  <a:lnTo>
                                    <a:pt x="2130" y="67"/>
                                  </a:lnTo>
                                  <a:lnTo>
                                    <a:pt x="2134" y="64"/>
                                  </a:lnTo>
                                  <a:lnTo>
                                    <a:pt x="2137" y="60"/>
                                  </a:lnTo>
                                  <a:lnTo>
                                    <a:pt x="2134" y="53"/>
                                  </a:lnTo>
                                  <a:lnTo>
                                    <a:pt x="2130" y="51"/>
                                  </a:lnTo>
                                </a:path>
                              </a:pathLst>
                            </a:custGeom>
                            <a:solidFill>
                              <a:srgbClr val="000000"/>
                            </a:solidFill>
                            <a:ln>
                              <a:noFill/>
                            </a:ln>
                          </wps:spPr>
                          <wps:bodyPr upright="true"/>
                        </wps:wsp>
                      </wpg:grpSp>
                      <wpg:grpSp>
                        <wpg:cNvPr id="63" name="组合 63"/>
                        <wpg:cNvGrpSpPr/>
                        <wpg:grpSpPr>
                          <a:xfrm>
                            <a:off x="8528" y="-2770"/>
                            <a:ext cx="120" cy="1855"/>
                            <a:chOff x="8528" y="-2770"/>
                            <a:chExt cx="120" cy="1855"/>
                          </a:xfrm>
                        </wpg:grpSpPr>
                        <wps:wsp>
                          <wps:cNvPr id="60" name="任意多边形 60"/>
                          <wps:cNvSpPr/>
                          <wps:spPr>
                            <a:xfrm>
                              <a:off x="8528" y="-2770"/>
                              <a:ext cx="120" cy="1855"/>
                            </a:xfrm>
                            <a:custGeom>
                              <a:avLst/>
                              <a:gdLst/>
                              <a:ahLst/>
                              <a:cxnLst/>
                              <a:rect l="0" t="0" r="0" b="0"/>
                              <a:pathLst>
                                <a:path w="120" h="1855">
                                  <a:moveTo>
                                    <a:pt x="60" y="92"/>
                                  </a:moveTo>
                                  <a:lnTo>
                                    <a:pt x="53" y="94"/>
                                  </a:lnTo>
                                  <a:lnTo>
                                    <a:pt x="51" y="99"/>
                                  </a:lnTo>
                                  <a:lnTo>
                                    <a:pt x="51" y="1847"/>
                                  </a:lnTo>
                                  <a:lnTo>
                                    <a:pt x="53" y="1852"/>
                                  </a:lnTo>
                                  <a:lnTo>
                                    <a:pt x="60" y="1855"/>
                                  </a:lnTo>
                                  <a:lnTo>
                                    <a:pt x="64" y="1852"/>
                                  </a:lnTo>
                                  <a:lnTo>
                                    <a:pt x="67" y="1847"/>
                                  </a:lnTo>
                                  <a:lnTo>
                                    <a:pt x="67" y="99"/>
                                  </a:lnTo>
                                  <a:lnTo>
                                    <a:pt x="64" y="94"/>
                                  </a:lnTo>
                                  <a:lnTo>
                                    <a:pt x="60" y="92"/>
                                  </a:lnTo>
                                </a:path>
                              </a:pathLst>
                            </a:custGeom>
                            <a:solidFill>
                              <a:srgbClr val="000000"/>
                            </a:solidFill>
                            <a:ln>
                              <a:noFill/>
                            </a:ln>
                          </wps:spPr>
                          <wps:bodyPr upright="true"/>
                        </wps:wsp>
                        <wps:wsp>
                          <wps:cNvPr id="61" name="任意多边形 61"/>
                          <wps:cNvSpPr/>
                          <wps:spPr>
                            <a:xfrm>
                              <a:off x="8528" y="-2770"/>
                              <a:ext cx="120" cy="1855"/>
                            </a:xfrm>
                            <a:custGeom>
                              <a:avLst/>
                              <a:gdLst/>
                              <a:ahLst/>
                              <a:cxnLst/>
                              <a:rect l="0" t="0" r="0" b="0"/>
                              <a:pathLst>
                                <a:path w="120" h="1855">
                                  <a:moveTo>
                                    <a:pt x="60" y="0"/>
                                  </a:moveTo>
                                  <a:lnTo>
                                    <a:pt x="0" y="120"/>
                                  </a:lnTo>
                                  <a:lnTo>
                                    <a:pt x="51" y="120"/>
                                  </a:lnTo>
                                  <a:lnTo>
                                    <a:pt x="51" y="99"/>
                                  </a:lnTo>
                                  <a:lnTo>
                                    <a:pt x="53" y="94"/>
                                  </a:lnTo>
                                  <a:lnTo>
                                    <a:pt x="60" y="92"/>
                                  </a:lnTo>
                                  <a:lnTo>
                                    <a:pt x="106" y="92"/>
                                  </a:lnTo>
                                  <a:lnTo>
                                    <a:pt x="60" y="0"/>
                                  </a:lnTo>
                                </a:path>
                              </a:pathLst>
                            </a:custGeom>
                            <a:solidFill>
                              <a:srgbClr val="000000"/>
                            </a:solidFill>
                            <a:ln>
                              <a:noFill/>
                            </a:ln>
                          </wps:spPr>
                          <wps:bodyPr upright="true"/>
                        </wps:wsp>
                        <wps:wsp>
                          <wps:cNvPr id="62" name="任意多边形 62"/>
                          <wps:cNvSpPr/>
                          <wps:spPr>
                            <a:xfrm>
                              <a:off x="8528" y="-2770"/>
                              <a:ext cx="120" cy="1855"/>
                            </a:xfrm>
                            <a:custGeom>
                              <a:avLst/>
                              <a:gdLst/>
                              <a:ahLst/>
                              <a:cxnLst/>
                              <a:rect l="0" t="0" r="0" b="0"/>
                              <a:pathLst>
                                <a:path w="120" h="1855">
                                  <a:moveTo>
                                    <a:pt x="106" y="92"/>
                                  </a:moveTo>
                                  <a:lnTo>
                                    <a:pt x="60" y="92"/>
                                  </a:lnTo>
                                  <a:lnTo>
                                    <a:pt x="64" y="94"/>
                                  </a:lnTo>
                                  <a:lnTo>
                                    <a:pt x="67" y="99"/>
                                  </a:lnTo>
                                  <a:lnTo>
                                    <a:pt x="67" y="120"/>
                                  </a:lnTo>
                                  <a:lnTo>
                                    <a:pt x="120" y="120"/>
                                  </a:lnTo>
                                  <a:lnTo>
                                    <a:pt x="106" y="92"/>
                                  </a:lnTo>
                                </a:path>
                              </a:pathLst>
                            </a:custGeom>
                            <a:solidFill>
                              <a:srgbClr val="000000"/>
                            </a:solidFill>
                            <a:ln>
                              <a:noFill/>
                            </a:ln>
                          </wps:spPr>
                          <wps:bodyPr upright="true"/>
                        </wps:wsp>
                      </wpg:grpSp>
                      <wps:wsp>
                        <wps:cNvPr id="64" name="任意多边形 64"/>
                        <wps:cNvSpPr/>
                        <wps:spPr>
                          <a:xfrm>
                            <a:off x="6494" y="-933"/>
                            <a:ext cx="2160" cy="20"/>
                          </a:xfrm>
                          <a:custGeom>
                            <a:avLst/>
                            <a:gdLst/>
                            <a:ahLst/>
                            <a:cxnLst/>
                            <a:rect l="0" t="0" r="0" b="0"/>
                            <a:pathLst>
                              <a:path w="2160" h="20">
                                <a:moveTo>
                                  <a:pt x="0" y="0"/>
                                </a:moveTo>
                                <a:lnTo>
                                  <a:pt x="2160" y="0"/>
                                </a:lnTo>
                              </a:path>
                            </a:pathLst>
                          </a:custGeom>
                          <a:noFill/>
                          <a:ln w="9525" cap="flat" cmpd="sng">
                            <a:solidFill>
                              <a:srgbClr val="000000"/>
                            </a:solidFill>
                            <a:prstDash val="solid"/>
                            <a:headEnd type="none" w="med" len="med"/>
                            <a:tailEnd type="none" w="med" len="med"/>
                          </a:ln>
                        </wps:spPr>
                        <wps:bodyPr upright="true"/>
                      </wps:wsp>
                      <wps:wsp>
                        <wps:cNvPr id="65" name="矩形 65"/>
                        <wps:cNvSpPr/>
                        <wps:spPr>
                          <a:xfrm>
                            <a:off x="2430" y="-4402"/>
                            <a:ext cx="2318" cy="527"/>
                          </a:xfrm>
                          <a:prstGeom prst="rect">
                            <a:avLst/>
                          </a:prstGeom>
                          <a:noFill/>
                          <a:ln w="9525" cap="flat" cmpd="sng">
                            <a:solidFill>
                              <a:srgbClr val="000000"/>
                            </a:solidFill>
                            <a:prstDash val="solid"/>
                            <a:miter/>
                            <a:headEnd type="none" w="med" len="med"/>
                            <a:tailEnd type="none" w="med" len="med"/>
                          </a:ln>
                        </wps:spPr>
                        <wps:txbx>
                          <w:txbxContent>
                            <w:p>
                              <w:pPr>
                                <w:ind w:firstLine="180" w:firstLineChars="100"/>
                              </w:pPr>
                              <w:r>
                                <w:rPr>
                                  <w:rFonts w:hint="eastAsia" w:ascii="Arial Unicode MS" w:eastAsia="Arial Unicode MS" w:cs="Arial Unicode MS"/>
                                  <w:kern w:val="0"/>
                                  <w:sz w:val="18"/>
                                  <w:szCs w:val="18"/>
                                </w:rPr>
                                <w:t>仪器设备校准、率定</w:t>
                              </w:r>
                            </w:p>
                          </w:txbxContent>
                        </wps:txbx>
                        <wps:bodyPr upright="true"/>
                      </wps:wsp>
                      <wpg:grpSp>
                        <wpg:cNvPr id="69" name="组合 69"/>
                        <wpg:cNvGrpSpPr/>
                        <wpg:grpSpPr>
                          <a:xfrm>
                            <a:off x="4713" y="-4150"/>
                            <a:ext cx="323" cy="120"/>
                            <a:chOff x="4713" y="-4150"/>
                            <a:chExt cx="323" cy="120"/>
                          </a:xfrm>
                        </wpg:grpSpPr>
                        <wps:wsp>
                          <wps:cNvPr id="66" name="任意多边形 66"/>
                          <wps:cNvSpPr/>
                          <wps:spPr>
                            <a:xfrm>
                              <a:off x="4713" y="-4150"/>
                              <a:ext cx="323" cy="120"/>
                            </a:xfrm>
                            <a:custGeom>
                              <a:avLst/>
                              <a:gdLst/>
                              <a:ahLst/>
                              <a:cxnLst/>
                              <a:rect l="0" t="0" r="0" b="0"/>
                              <a:pathLst>
                                <a:path w="323" h="120">
                                  <a:moveTo>
                                    <a:pt x="202" y="0"/>
                                  </a:moveTo>
                                  <a:lnTo>
                                    <a:pt x="202" y="120"/>
                                  </a:lnTo>
                                  <a:lnTo>
                                    <a:pt x="308" y="67"/>
                                  </a:lnTo>
                                  <a:lnTo>
                                    <a:pt x="221" y="67"/>
                                  </a:lnTo>
                                  <a:lnTo>
                                    <a:pt x="228" y="64"/>
                                  </a:lnTo>
                                  <a:lnTo>
                                    <a:pt x="230" y="60"/>
                                  </a:lnTo>
                                  <a:lnTo>
                                    <a:pt x="228" y="53"/>
                                  </a:lnTo>
                                  <a:lnTo>
                                    <a:pt x="221" y="51"/>
                                  </a:lnTo>
                                  <a:lnTo>
                                    <a:pt x="305" y="51"/>
                                  </a:lnTo>
                                  <a:lnTo>
                                    <a:pt x="202" y="0"/>
                                  </a:lnTo>
                                </a:path>
                              </a:pathLst>
                            </a:custGeom>
                            <a:solidFill>
                              <a:srgbClr val="000000"/>
                            </a:solidFill>
                            <a:ln>
                              <a:noFill/>
                            </a:ln>
                          </wps:spPr>
                          <wps:bodyPr upright="true"/>
                        </wps:wsp>
                        <wps:wsp>
                          <wps:cNvPr id="67" name="任意多边形 67"/>
                          <wps:cNvSpPr/>
                          <wps:spPr>
                            <a:xfrm>
                              <a:off x="4713" y="-4150"/>
                              <a:ext cx="323" cy="120"/>
                            </a:xfrm>
                            <a:custGeom>
                              <a:avLst/>
                              <a:gdLst/>
                              <a:ahLst/>
                              <a:cxnLst/>
                              <a:rect l="0" t="0" r="0" b="0"/>
                              <a:pathLst>
                                <a:path w="323" h="120">
                                  <a:moveTo>
                                    <a:pt x="202" y="51"/>
                                  </a:moveTo>
                                  <a:lnTo>
                                    <a:pt x="7" y="51"/>
                                  </a:lnTo>
                                  <a:lnTo>
                                    <a:pt x="2" y="53"/>
                                  </a:lnTo>
                                  <a:lnTo>
                                    <a:pt x="0" y="60"/>
                                  </a:lnTo>
                                  <a:lnTo>
                                    <a:pt x="2" y="64"/>
                                  </a:lnTo>
                                  <a:lnTo>
                                    <a:pt x="7" y="67"/>
                                  </a:lnTo>
                                  <a:lnTo>
                                    <a:pt x="202" y="67"/>
                                  </a:lnTo>
                                  <a:lnTo>
                                    <a:pt x="202" y="51"/>
                                  </a:lnTo>
                                </a:path>
                              </a:pathLst>
                            </a:custGeom>
                            <a:solidFill>
                              <a:srgbClr val="000000"/>
                            </a:solidFill>
                            <a:ln>
                              <a:noFill/>
                            </a:ln>
                          </wps:spPr>
                          <wps:bodyPr upright="true"/>
                        </wps:wsp>
                        <wps:wsp>
                          <wps:cNvPr id="68" name="任意多边形 68"/>
                          <wps:cNvSpPr/>
                          <wps:spPr>
                            <a:xfrm>
                              <a:off x="4713" y="-4150"/>
                              <a:ext cx="323" cy="120"/>
                            </a:xfrm>
                            <a:custGeom>
                              <a:avLst/>
                              <a:gdLst/>
                              <a:ahLst/>
                              <a:cxnLst/>
                              <a:rect l="0" t="0" r="0" b="0"/>
                              <a:pathLst>
                                <a:path w="323" h="120">
                                  <a:moveTo>
                                    <a:pt x="305" y="51"/>
                                  </a:moveTo>
                                  <a:lnTo>
                                    <a:pt x="221" y="51"/>
                                  </a:lnTo>
                                  <a:lnTo>
                                    <a:pt x="228" y="53"/>
                                  </a:lnTo>
                                  <a:lnTo>
                                    <a:pt x="230" y="60"/>
                                  </a:lnTo>
                                  <a:lnTo>
                                    <a:pt x="228" y="64"/>
                                  </a:lnTo>
                                  <a:lnTo>
                                    <a:pt x="221" y="67"/>
                                  </a:lnTo>
                                  <a:lnTo>
                                    <a:pt x="308" y="67"/>
                                  </a:lnTo>
                                  <a:lnTo>
                                    <a:pt x="322" y="60"/>
                                  </a:lnTo>
                                  <a:lnTo>
                                    <a:pt x="305" y="51"/>
                                  </a:lnTo>
                                </a:path>
                              </a:pathLst>
                            </a:custGeom>
                            <a:solidFill>
                              <a:srgbClr val="000000"/>
                            </a:solidFill>
                            <a:ln>
                              <a:noFill/>
                            </a:ln>
                          </wps:spPr>
                          <wps:bodyPr upright="true"/>
                        </wps:wsp>
                      </wpg:grpSp>
                      <wps:wsp>
                        <wps:cNvPr id="70" name="矩形 70"/>
                        <wps:cNvSpPr/>
                        <wps:spPr>
                          <a:xfrm>
                            <a:off x="1990" y="-3310"/>
                            <a:ext cx="1135" cy="527"/>
                          </a:xfrm>
                          <a:prstGeom prst="rect">
                            <a:avLst/>
                          </a:prstGeom>
                          <a:noFill/>
                          <a:ln w="9525" cap="flat" cmpd="sng">
                            <a:solidFill>
                              <a:srgbClr val="000000"/>
                            </a:solidFill>
                            <a:prstDash val="solid"/>
                            <a:miter/>
                            <a:headEnd type="none" w="med" len="med"/>
                            <a:tailEnd type="none" w="med" len="med"/>
                          </a:ln>
                        </wps:spPr>
                        <wps:txbx>
                          <w:txbxContent>
                            <w:p>
                              <w:pPr>
                                <w:autoSpaceDE w:val="0"/>
                                <w:autoSpaceDN w:val="0"/>
                                <w:adjustRightInd w:val="0"/>
                                <w:spacing w:line="252" w:lineRule="exact"/>
                                <w:ind w:firstLine="0" w:firstLineChars="0"/>
                                <w:jc w:val="left"/>
                                <w:rPr>
                                  <w:rFonts w:ascii="Arial Unicode MS" w:eastAsia="Arial Unicode MS" w:cs="Arial Unicode MS"/>
                                  <w:kern w:val="0"/>
                                  <w:sz w:val="18"/>
                                  <w:szCs w:val="18"/>
                                </w:rPr>
                              </w:pPr>
                              <w:r>
                                <w:rPr>
                                  <w:rFonts w:hint="eastAsia" w:ascii="Arial Unicode MS" w:eastAsia="Arial Unicode MS" w:cs="Arial Unicode MS"/>
                                  <w:kern w:val="0"/>
                                  <w:position w:val="-1"/>
                                  <w:sz w:val="18"/>
                                  <w:szCs w:val="18"/>
                                </w:rPr>
                                <w:t>重新检测</w:t>
                              </w:r>
                            </w:p>
                            <w:p>
                              <w:pPr>
                                <w:ind w:firstLine="480"/>
                                <w:jc w:val="center"/>
                              </w:pPr>
                            </w:p>
                          </w:txbxContent>
                        </wps:txbx>
                        <wps:bodyPr upright="true"/>
                      </wps:wsp>
                      <wpg:grpSp>
                        <wpg:cNvPr id="74" name="组合 74"/>
                        <wpg:cNvGrpSpPr/>
                        <wpg:grpSpPr>
                          <a:xfrm>
                            <a:off x="2456" y="-2842"/>
                            <a:ext cx="120" cy="799"/>
                            <a:chOff x="2456" y="-2842"/>
                            <a:chExt cx="120" cy="799"/>
                          </a:xfrm>
                        </wpg:grpSpPr>
                        <wps:wsp>
                          <wps:cNvPr id="71" name="任意多边形 71"/>
                          <wps:cNvSpPr/>
                          <wps:spPr>
                            <a:xfrm>
                              <a:off x="2456" y="-2842"/>
                              <a:ext cx="120" cy="799"/>
                            </a:xfrm>
                            <a:custGeom>
                              <a:avLst/>
                              <a:gdLst/>
                              <a:ahLst/>
                              <a:cxnLst/>
                              <a:rect l="0" t="0" r="0" b="0"/>
                              <a:pathLst>
                                <a:path w="120" h="799">
                                  <a:moveTo>
                                    <a:pt x="60" y="92"/>
                                  </a:moveTo>
                                  <a:lnTo>
                                    <a:pt x="54" y="94"/>
                                  </a:lnTo>
                                  <a:lnTo>
                                    <a:pt x="51" y="99"/>
                                  </a:lnTo>
                                  <a:lnTo>
                                    <a:pt x="51" y="792"/>
                                  </a:lnTo>
                                  <a:lnTo>
                                    <a:pt x="54" y="796"/>
                                  </a:lnTo>
                                  <a:lnTo>
                                    <a:pt x="60" y="799"/>
                                  </a:lnTo>
                                  <a:lnTo>
                                    <a:pt x="64" y="796"/>
                                  </a:lnTo>
                                  <a:lnTo>
                                    <a:pt x="67" y="792"/>
                                  </a:lnTo>
                                  <a:lnTo>
                                    <a:pt x="67" y="99"/>
                                  </a:lnTo>
                                  <a:lnTo>
                                    <a:pt x="64" y="94"/>
                                  </a:lnTo>
                                  <a:lnTo>
                                    <a:pt x="60" y="92"/>
                                  </a:lnTo>
                                </a:path>
                              </a:pathLst>
                            </a:custGeom>
                            <a:solidFill>
                              <a:srgbClr val="000000"/>
                            </a:solidFill>
                            <a:ln>
                              <a:noFill/>
                            </a:ln>
                          </wps:spPr>
                          <wps:bodyPr upright="true"/>
                        </wps:wsp>
                        <wps:wsp>
                          <wps:cNvPr id="72" name="任意多边形 72"/>
                          <wps:cNvSpPr/>
                          <wps:spPr>
                            <a:xfrm>
                              <a:off x="2456" y="-2842"/>
                              <a:ext cx="120" cy="799"/>
                            </a:xfrm>
                            <a:custGeom>
                              <a:avLst/>
                              <a:gdLst/>
                              <a:ahLst/>
                              <a:cxnLst/>
                              <a:rect l="0" t="0" r="0" b="0"/>
                              <a:pathLst>
                                <a:path w="120" h="799">
                                  <a:moveTo>
                                    <a:pt x="60" y="0"/>
                                  </a:moveTo>
                                  <a:lnTo>
                                    <a:pt x="0" y="120"/>
                                  </a:lnTo>
                                  <a:lnTo>
                                    <a:pt x="51" y="120"/>
                                  </a:lnTo>
                                  <a:lnTo>
                                    <a:pt x="51" y="99"/>
                                  </a:lnTo>
                                  <a:lnTo>
                                    <a:pt x="54" y="94"/>
                                  </a:lnTo>
                                  <a:lnTo>
                                    <a:pt x="60" y="92"/>
                                  </a:lnTo>
                                  <a:lnTo>
                                    <a:pt x="106" y="92"/>
                                  </a:lnTo>
                                  <a:lnTo>
                                    <a:pt x="60" y="0"/>
                                  </a:lnTo>
                                </a:path>
                              </a:pathLst>
                            </a:custGeom>
                            <a:solidFill>
                              <a:srgbClr val="000000"/>
                            </a:solidFill>
                            <a:ln>
                              <a:noFill/>
                            </a:ln>
                          </wps:spPr>
                          <wps:bodyPr upright="true"/>
                        </wps:wsp>
                        <wps:wsp>
                          <wps:cNvPr id="73" name="任意多边形 73"/>
                          <wps:cNvSpPr/>
                          <wps:spPr>
                            <a:xfrm>
                              <a:off x="2456" y="-2842"/>
                              <a:ext cx="120" cy="799"/>
                            </a:xfrm>
                            <a:custGeom>
                              <a:avLst/>
                              <a:gdLst/>
                              <a:ahLst/>
                              <a:cxnLst/>
                              <a:rect l="0" t="0" r="0" b="0"/>
                              <a:pathLst>
                                <a:path w="120" h="799">
                                  <a:moveTo>
                                    <a:pt x="106" y="92"/>
                                  </a:moveTo>
                                  <a:lnTo>
                                    <a:pt x="60" y="92"/>
                                  </a:lnTo>
                                  <a:lnTo>
                                    <a:pt x="64" y="94"/>
                                  </a:lnTo>
                                  <a:lnTo>
                                    <a:pt x="67" y="99"/>
                                  </a:lnTo>
                                  <a:lnTo>
                                    <a:pt x="67" y="120"/>
                                  </a:lnTo>
                                  <a:lnTo>
                                    <a:pt x="120" y="120"/>
                                  </a:lnTo>
                                  <a:lnTo>
                                    <a:pt x="106" y="92"/>
                                  </a:lnTo>
                                </a:path>
                              </a:pathLst>
                            </a:custGeom>
                            <a:solidFill>
                              <a:srgbClr val="000000"/>
                            </a:solidFill>
                            <a:ln>
                              <a:noFill/>
                            </a:ln>
                          </wps:spPr>
                          <wps:bodyPr upright="true"/>
                        </wps:wsp>
                      </wpg:grpSp>
                      <wps:wsp>
                        <wps:cNvPr id="75" name="任意多边形 75"/>
                        <wps:cNvSpPr/>
                        <wps:spPr>
                          <a:xfrm>
                            <a:off x="2516" y="-2062"/>
                            <a:ext cx="2204" cy="20"/>
                          </a:xfrm>
                          <a:custGeom>
                            <a:avLst/>
                            <a:gdLst/>
                            <a:ahLst/>
                            <a:cxnLst/>
                            <a:rect l="0" t="0" r="0" b="0"/>
                            <a:pathLst>
                              <a:path w="2204" h="20">
                                <a:moveTo>
                                  <a:pt x="0" y="0"/>
                                </a:moveTo>
                                <a:lnTo>
                                  <a:pt x="2204" y="0"/>
                                </a:lnTo>
                              </a:path>
                            </a:pathLst>
                          </a:custGeom>
                          <a:noFill/>
                          <a:ln w="9525" cap="flat" cmpd="sng">
                            <a:solidFill>
                              <a:srgbClr val="000000"/>
                            </a:solidFill>
                            <a:prstDash val="solid"/>
                            <a:headEnd type="none" w="med" len="med"/>
                            <a:tailEnd type="none" w="med" len="med"/>
                          </a:ln>
                        </wps:spPr>
                        <wps:bodyPr upright="true"/>
                      </wps:wsp>
                      <wps:wsp>
                        <wps:cNvPr id="76" name="任意多边形 76"/>
                        <wps:cNvSpPr/>
                        <wps:spPr>
                          <a:xfrm>
                            <a:off x="2200" y="-5160"/>
                            <a:ext cx="20" cy="1872"/>
                          </a:xfrm>
                          <a:custGeom>
                            <a:avLst/>
                            <a:gdLst/>
                            <a:ahLst/>
                            <a:cxnLst/>
                            <a:rect l="0" t="0" r="0" b="0"/>
                            <a:pathLst>
                              <a:path w="20" h="1872">
                                <a:moveTo>
                                  <a:pt x="0" y="1872"/>
                                </a:moveTo>
                                <a:lnTo>
                                  <a:pt x="0" y="0"/>
                                </a:lnTo>
                              </a:path>
                            </a:pathLst>
                          </a:custGeom>
                          <a:noFill/>
                          <a:ln w="9525" cap="flat" cmpd="sng">
                            <a:solidFill>
                              <a:srgbClr val="000000"/>
                            </a:solidFill>
                            <a:prstDash val="solid"/>
                            <a:headEnd type="none" w="med" len="med"/>
                            <a:tailEnd type="none" w="med" len="med"/>
                          </a:ln>
                        </wps:spPr>
                        <wps:bodyPr upright="true"/>
                      </wps:wsp>
                      <wpg:grpSp>
                        <wpg:cNvPr id="80" name="组合 80"/>
                        <wpg:cNvGrpSpPr/>
                        <wpg:grpSpPr>
                          <a:xfrm>
                            <a:off x="2193" y="-5242"/>
                            <a:ext cx="2843" cy="120"/>
                            <a:chOff x="2193" y="-5242"/>
                            <a:chExt cx="2843" cy="120"/>
                          </a:xfrm>
                        </wpg:grpSpPr>
                        <wps:wsp>
                          <wps:cNvPr id="77" name="任意多边形 77"/>
                          <wps:cNvSpPr/>
                          <wps:spPr>
                            <a:xfrm>
                              <a:off x="2193" y="-5242"/>
                              <a:ext cx="2843" cy="120"/>
                            </a:xfrm>
                            <a:custGeom>
                              <a:avLst/>
                              <a:gdLst/>
                              <a:ahLst/>
                              <a:cxnLst/>
                              <a:rect l="0" t="0" r="0" b="0"/>
                              <a:pathLst>
                                <a:path w="2843" h="120">
                                  <a:moveTo>
                                    <a:pt x="2722" y="0"/>
                                  </a:moveTo>
                                  <a:lnTo>
                                    <a:pt x="2722" y="120"/>
                                  </a:lnTo>
                                  <a:lnTo>
                                    <a:pt x="2828" y="67"/>
                                  </a:lnTo>
                                  <a:lnTo>
                                    <a:pt x="2742" y="67"/>
                                  </a:lnTo>
                                  <a:lnTo>
                                    <a:pt x="2748" y="64"/>
                                  </a:lnTo>
                                  <a:lnTo>
                                    <a:pt x="2750" y="60"/>
                                  </a:lnTo>
                                  <a:lnTo>
                                    <a:pt x="2748" y="54"/>
                                  </a:lnTo>
                                  <a:lnTo>
                                    <a:pt x="2742" y="51"/>
                                  </a:lnTo>
                                  <a:lnTo>
                                    <a:pt x="2826" y="51"/>
                                  </a:lnTo>
                                  <a:lnTo>
                                    <a:pt x="2722" y="0"/>
                                  </a:lnTo>
                                </a:path>
                              </a:pathLst>
                            </a:custGeom>
                            <a:solidFill>
                              <a:srgbClr val="000000"/>
                            </a:solidFill>
                            <a:ln>
                              <a:noFill/>
                            </a:ln>
                          </wps:spPr>
                          <wps:bodyPr upright="true"/>
                        </wps:wsp>
                        <wps:wsp>
                          <wps:cNvPr id="78" name="任意多边形 78"/>
                          <wps:cNvSpPr/>
                          <wps:spPr>
                            <a:xfrm>
                              <a:off x="2193" y="-5242"/>
                              <a:ext cx="2843" cy="120"/>
                            </a:xfrm>
                            <a:custGeom>
                              <a:avLst/>
                              <a:gdLst/>
                              <a:ahLst/>
                              <a:cxnLst/>
                              <a:rect l="0" t="0" r="0" b="0"/>
                              <a:pathLst>
                                <a:path w="2843" h="120">
                                  <a:moveTo>
                                    <a:pt x="2722" y="51"/>
                                  </a:moveTo>
                                  <a:lnTo>
                                    <a:pt x="7" y="51"/>
                                  </a:lnTo>
                                  <a:lnTo>
                                    <a:pt x="2" y="54"/>
                                  </a:lnTo>
                                  <a:lnTo>
                                    <a:pt x="0" y="60"/>
                                  </a:lnTo>
                                  <a:lnTo>
                                    <a:pt x="2" y="64"/>
                                  </a:lnTo>
                                  <a:lnTo>
                                    <a:pt x="7" y="67"/>
                                  </a:lnTo>
                                  <a:lnTo>
                                    <a:pt x="2722" y="67"/>
                                  </a:lnTo>
                                  <a:lnTo>
                                    <a:pt x="2722" y="51"/>
                                  </a:lnTo>
                                </a:path>
                              </a:pathLst>
                            </a:custGeom>
                            <a:solidFill>
                              <a:srgbClr val="000000"/>
                            </a:solidFill>
                            <a:ln>
                              <a:noFill/>
                            </a:ln>
                          </wps:spPr>
                          <wps:bodyPr upright="true"/>
                        </wps:wsp>
                        <wps:wsp>
                          <wps:cNvPr id="79" name="任意多边形 79"/>
                          <wps:cNvSpPr/>
                          <wps:spPr>
                            <a:xfrm>
                              <a:off x="2193" y="-5242"/>
                              <a:ext cx="2843" cy="120"/>
                            </a:xfrm>
                            <a:custGeom>
                              <a:avLst/>
                              <a:gdLst/>
                              <a:ahLst/>
                              <a:cxnLst/>
                              <a:rect l="0" t="0" r="0" b="0"/>
                              <a:pathLst>
                                <a:path w="2843" h="120">
                                  <a:moveTo>
                                    <a:pt x="2826" y="51"/>
                                  </a:moveTo>
                                  <a:lnTo>
                                    <a:pt x="2742" y="51"/>
                                  </a:lnTo>
                                  <a:lnTo>
                                    <a:pt x="2748" y="54"/>
                                  </a:lnTo>
                                  <a:lnTo>
                                    <a:pt x="2750" y="60"/>
                                  </a:lnTo>
                                  <a:lnTo>
                                    <a:pt x="2748" y="64"/>
                                  </a:lnTo>
                                  <a:lnTo>
                                    <a:pt x="2742" y="67"/>
                                  </a:lnTo>
                                  <a:lnTo>
                                    <a:pt x="2828" y="67"/>
                                  </a:lnTo>
                                  <a:lnTo>
                                    <a:pt x="2842" y="60"/>
                                  </a:lnTo>
                                  <a:lnTo>
                                    <a:pt x="2826" y="51"/>
                                  </a:lnTo>
                                </a:path>
                              </a:pathLst>
                            </a:custGeom>
                            <a:solidFill>
                              <a:srgbClr val="000000"/>
                            </a:solidFill>
                            <a:ln>
                              <a:noFill/>
                            </a:ln>
                          </wps:spPr>
                          <wps:bodyPr upright="true"/>
                        </wps:wsp>
                      </wpg:grpSp>
                    </wpg:wgp>
                  </a:graphicData>
                </a:graphic>
              </wp:anchor>
            </w:drawing>
          </mc:Choice>
          <mc:Fallback>
            <w:pict>
              <v:group id="_x0000_s1026" o:spid="_x0000_s1026" o:spt="203" style="position:absolute;left:0pt;margin-top:27.9pt;height:353.15pt;width:395.05pt;mso-position-horizontal:center;mso-position-horizontal-relative:margin;mso-wrap-distance-bottom:0pt;mso-wrap-distance-left:9pt;mso-wrap-distance-right:9pt;mso-wrap-distance-top:0pt;z-index:251659264;mso-width-relative:page;mso-height-relative:page;" coordorigin="1990,-7522" coordsize="7590,6863" o:gfxdata="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">
                <o:lock v:ext="edit" aspectratio="f"/>
                <v:rect id="_x0000_s1026" o:spid="_x0000_s1026" o:spt="1" style="position:absolute;left:5323;top:-7522;height:527;width:1135;v-text-anchor:middle;" filled="f" stroked="t" coordsize="21600,21600" o:gfxdata="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fA8TvvwAAANsAAAAPAAAAAAAAAAEAIAAAADgAAABkcnMvZG93bnJl&#10;di54bWxQSwECFAAUAAAACACHTuJAMy8FnjsAAAA5AAAAEAAAAAAAAAABACAAAAAkAQAAZHJzL3No&#10;YXBleG1sLnhtbFBLBQYAAAAABgAGAFsBAADOAwAAAAA=&#10;">
                  <v:fill on="f" focussize="0,0"/>
                  <v:stroke color="#000000" joinstyle="miter"/>
                  <v:imagedata o:title=""/>
                  <o:lock v:ext="edit" aspectratio="f"/>
                  <v:textbox>
                    <w:txbxContent>
                      <w:p>
                        <w:pPr>
                          <w:ind w:firstLine="0" w:firstLineChars="0"/>
                        </w:pPr>
                        <w:r>
                          <w:rPr>
                            <w:rFonts w:hint="eastAsia" w:ascii="Arial Unicode MS" w:eastAsia="Arial Unicode MS" w:cs="Arial Unicode MS"/>
                            <w:kern w:val="0"/>
                            <w:position w:val="-2"/>
                            <w:sz w:val="18"/>
                            <w:szCs w:val="18"/>
                          </w:rPr>
                          <w:t>接受委托</w:t>
                        </w:r>
                      </w:p>
                    </w:txbxContent>
                  </v:textbox>
                </v:rect>
                <v:rect id="_x0000_s1026" o:spid="_x0000_s1026" o:spt="1" style="position:absolute;left:4898;top:-6466;height:527;width:1844;" filled="f" stroked="t" coordsize="21600,21600" o:gfxdata="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tAgGhr0AAADbAAAADwAAAAAAAAABACAAAAA4AAAAZHJzL2Rvd25yZXYu&#10;eG1sUEsBAhQAFAAAAAgAh07iQDMvBZ47AAAAOQAAABAAAAAAAAAAAQAgAAAAIgEAAGRycy9zaGFw&#10;ZXhtbC54bWxQSwUGAAAAAAYABgBbAQAAzAMAAAAA&#10;">
                  <v:fill on="f" focussize="0,0"/>
                  <v:stroke weight="0.74992125984252pt" color="#000000" joinstyle="miter"/>
                  <v:imagedata o:title=""/>
                  <o:lock v:ext="edit" aspectratio="f"/>
                  <v:textbox>
                    <w:txbxContent>
                      <w:p>
                        <w:pPr>
                          <w:ind w:firstLine="0" w:firstLineChars="0"/>
                        </w:pPr>
                        <w:r>
                          <w:rPr>
                            <w:rFonts w:hint="eastAsia" w:ascii="Arial Unicode MS" w:eastAsia="Arial Unicode MS" w:cs="Arial Unicode MS"/>
                            <w:kern w:val="0"/>
                            <w:position w:val="-2"/>
                            <w:sz w:val="18"/>
                            <w:szCs w:val="18"/>
                          </w:rPr>
                          <w:t>调查、资料收集</w:t>
                        </w:r>
                      </w:p>
                    </w:txbxContent>
                  </v:textbox>
                </v:rect>
                <v:group id="_x0000_s1026" o:spid="_x0000_s1026" o:spt="203" style="position:absolute;left:5830;top:-7003;height:537;width:120;" coordorigin="5830,-7003" coordsize="120,537" o:gfxdata="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">
                  <o:lock v:ext="edit" aspectratio="f"/>
                  <v:shape id="_x0000_s1026" o:spid="_x0000_s1026" o:spt="100" style="position:absolute;left:5830;top:-7003;height:537;width:120;" fillcolor="#000000" filled="t" stroked="f" coordsize="120,537" o:gfxdata="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EnrTZC+AAAA2wAAAA8AAAAAAAAAAQAgAAAAOAAAAGRycy9kb3ducmV2&#10;LnhtbFBLAQIUABQAAAAIAIdO4kAzLwWeOwAAADkAAAAQAAAAAAAAAAEAIAAAACMBAABkcnMvc2hh&#10;cGV4bWwueG1sUEsFBgAAAAAGAAYAWwEAAM0DAAAAAA==&#10;" path="m52,416l0,416,60,536,106,443,60,443,55,441,52,435,52,416e">
                    <v:fill on="t" focussize="0,0"/>
                    <v:stroke on="f"/>
                    <v:imagedata o:title=""/>
                    <o:lock v:ext="edit" aspectratio="f"/>
                  </v:shape>
                  <v:shape id="_x0000_s1026" o:spid="_x0000_s1026" o:spt="100" style="position:absolute;left:5830;top:-7003;height:537;width:120;" fillcolor="#000000" filled="t" stroked="f" coordsize="120,537" o:gfxdata="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uTnT570AAADbAAAADwAAAAAAAAABACAAAAA4AAAAZHJzL2Rvd25yZXYu&#10;eG1sUEsBAhQAFAAAAAgAh07iQDMvBZ47AAAAOQAAABAAAAAAAAAAAQAgAAAAIgEAAGRycy9zaGFw&#10;ZXhtbC54bWxQSwUGAAAAAAYABgBbAQAAzAMAAAAA&#10;" path="m60,0l55,2,52,8,52,435,55,441,60,443,65,441,67,435,67,8,65,2,60,0e">
                    <v:fill on="t" focussize="0,0"/>
                    <v:stroke on="f"/>
                    <v:imagedata o:title=""/>
                    <o:lock v:ext="edit" aspectratio="f"/>
                  </v:shape>
                  <v:shape id="_x0000_s1026" o:spid="_x0000_s1026" o:spt="100" style="position:absolute;left:5830;top:-7003;height:537;width:120;" fillcolor="#000000" filled="t" stroked="f" coordsize="120,537" o:gfxdata="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NZ1dny+AAAA2wAAAA8AAAAAAAAAAQAgAAAAOAAAAGRycy9kb3ducmV2&#10;LnhtbFBLAQIUABQAAAAIAIdO4kAzLwWeOwAAADkAAAAQAAAAAAAAAAEAIAAAACMBAABkcnMvc2hh&#10;cGV4bWwueG1sUEsFBgAAAAAGAAYAWwEAAM0DAAAAAA==&#10;" path="m120,416l67,416,67,435,65,441,60,443,106,443,120,416e">
                    <v:fill on="t" focussize="0,0"/>
                    <v:stroke on="f"/>
                    <v:imagedata o:title=""/>
                    <o:lock v:ext="edit" aspectratio="f"/>
                  </v:shape>
                </v:group>
                <v:rect id="_x0000_s1026" o:spid="_x0000_s1026" o:spt="1" style="position:absolute;left:5036;top:-5418;height:527;width:1845;" filled="f" stroked="t" coordsize="21600,21600" o:gfxdata="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WgmpGL0AAADbAAAADwAAAAAAAAABACAAAAA4AAAAZHJzL2Rvd25yZXYu&#10;eG1sUEsBAhQAFAAAAAgAh07iQDMvBZ47AAAAOQAAABAAAAAAAAAAAQAgAAAAIgEAAGRycy9zaGFw&#10;ZXhtbC54bWxQSwUGAAAAAAYABgBbAQAAzAMAAAAA&#10;">
                  <v:fill on="f" focussize="0,0"/>
                  <v:stroke weight="0.74992125984252pt" color="#000000" joinstyle="miter"/>
                  <v:imagedata o:title=""/>
                  <o:lock v:ext="edit" aspectratio="f"/>
                  <v:textbox>
                    <w:txbxContent>
                      <w:p>
                        <w:pPr>
                          <w:autoSpaceDE w:val="0"/>
                          <w:autoSpaceDN w:val="0"/>
                          <w:adjustRightInd w:val="0"/>
                          <w:ind w:firstLine="180" w:firstLineChars="100"/>
                          <w:rPr>
                            <w:rFonts w:ascii="Arial Unicode MS" w:eastAsia="Arial Unicode MS" w:cs="Arial Unicode MS"/>
                            <w:kern w:val="0"/>
                            <w:sz w:val="18"/>
                            <w:szCs w:val="18"/>
                          </w:rPr>
                        </w:pPr>
                        <w:r>
                          <w:rPr>
                            <w:rFonts w:hint="eastAsia" w:ascii="Arial Unicode MS" w:eastAsia="Arial Unicode MS" w:cs="Arial Unicode MS"/>
                            <w:kern w:val="0"/>
                            <w:position w:val="-2"/>
                            <w:sz w:val="18"/>
                            <w:szCs w:val="18"/>
                          </w:rPr>
                          <w:t>制定检测方案</w:t>
                        </w:r>
                      </w:p>
                      <w:p>
                        <w:pPr>
                          <w:autoSpaceDE w:val="0"/>
                          <w:autoSpaceDN w:val="0"/>
                          <w:adjustRightInd w:val="0"/>
                          <w:spacing w:line="240" w:lineRule="exact"/>
                          <w:ind w:left="3639" w:right="3834" w:firstLine="360"/>
                          <w:jc w:val="center"/>
                          <w:rPr>
                            <w:rFonts w:ascii="Arial Unicode MS" w:eastAsia="Arial Unicode MS" w:cs="Arial Unicode MS"/>
                            <w:kern w:val="0"/>
                            <w:sz w:val="18"/>
                            <w:szCs w:val="18"/>
                          </w:rPr>
                        </w:pPr>
                        <w:r>
                          <w:rPr>
                            <w:rFonts w:hint="eastAsia" w:ascii="Arial Unicode MS" w:eastAsia="Arial Unicode MS" w:cs="Arial Unicode MS"/>
                            <w:kern w:val="0"/>
                            <w:position w:val="-2"/>
                            <w:sz w:val="18"/>
                            <w:szCs w:val="18"/>
                          </w:rPr>
                          <w:t>定检测方案</w:t>
                        </w:r>
                      </w:p>
                      <w:p>
                        <w:pPr>
                          <w:autoSpaceDE w:val="0"/>
                          <w:autoSpaceDN w:val="0"/>
                          <w:adjustRightInd w:val="0"/>
                          <w:spacing w:line="240" w:lineRule="exact"/>
                          <w:ind w:left="3639" w:right="3834" w:firstLine="360"/>
                          <w:jc w:val="center"/>
                          <w:rPr>
                            <w:rFonts w:ascii="Arial Unicode MS" w:eastAsia="Arial Unicode MS" w:cs="Arial Unicode MS"/>
                            <w:kern w:val="0"/>
                            <w:sz w:val="18"/>
                            <w:szCs w:val="18"/>
                          </w:rPr>
                        </w:pPr>
                        <w:r>
                          <w:rPr>
                            <w:rFonts w:hint="eastAsia" w:ascii="Arial Unicode MS" w:eastAsia="Arial Unicode MS" w:cs="Arial Unicode MS"/>
                            <w:kern w:val="0"/>
                            <w:position w:val="-2"/>
                            <w:sz w:val="18"/>
                            <w:szCs w:val="18"/>
                          </w:rPr>
                          <w:t>制定检测方案</w:t>
                        </w:r>
                      </w:p>
                      <w:p>
                        <w:pPr>
                          <w:ind w:firstLine="480"/>
                          <w:jc w:val="center"/>
                        </w:pPr>
                      </w:p>
                    </w:txbxContent>
                  </v:textbox>
                </v:rect>
                <v:rect id="_x0000_s1026" o:spid="_x0000_s1026" o:spt="1" style="position:absolute;left:5038;top:-4354;height:527;width:1845;" filled="f" stroked="t" coordsize="21600,21600" o:gfxdata="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BO6pZYuQAAANsAAAAPAAAAAAAAAAEAIAAAADgAAABkcnMvZG93bnJldi54bWxQ&#10;SwECFAAUAAAACACHTuJAMy8FnjsAAAA5AAAAEAAAAAAAAAABACAAAAAeAQAAZHJzL3NoYXBleG1s&#10;LnhtbFBLBQYAAAAABgAGAFsBAADIAwAAAAA=&#10;">
                  <v:fill on="f" focussize="0,0"/>
                  <v:stroke weight="0.74992125984252pt" color="#000000" joinstyle="miter"/>
                  <v:imagedata o:title=""/>
                  <o:lock v:ext="edit" aspectratio="f"/>
                  <v:textbox>
                    <w:txbxContent>
                      <w:p>
                        <w:pPr>
                          <w:ind w:firstLine="0" w:firstLineChars="0"/>
                        </w:pPr>
                        <w:r>
                          <w:rPr>
                            <w:rFonts w:hint="eastAsia" w:ascii="Arial Unicode MS" w:eastAsia="Arial Unicode MS" w:cs="Arial Unicode MS"/>
                            <w:kern w:val="0"/>
                            <w:position w:val="-3"/>
                            <w:sz w:val="18"/>
                            <w:szCs w:val="18"/>
                          </w:rPr>
                          <w:t>检测试验前准备</w:t>
                        </w:r>
                      </w:p>
                    </w:txbxContent>
                  </v:textbox>
                </v:rect>
                <v:rect id="_x0000_s1026" o:spid="_x0000_s1026" o:spt="1" style="position:absolute;left:5323;top:-3298;height:527;width:1135;" filled="f" stroked="t" coordsize="21600,21600" o:gfxdata="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KxfTpL0AAADbAAAADwAAAAAAAAABACAAAAA4AAAAZHJzL2Rvd25yZXYu&#10;eG1sUEsBAhQAFAAAAAgAh07iQDMvBZ47AAAAOQAAABAAAAAAAAAAAQAgAAAAIgEAAGRycy9zaGFw&#10;ZXhtbC54bWxQSwUGAAAAAAYABgBbAQAAzAMAAAAA&#10;">
                  <v:fill on="f" focussize="0,0"/>
                  <v:stroke color="#000000" joinstyle="miter"/>
                  <v:imagedata o:title=""/>
                  <o:lock v:ext="edit" aspectratio="f"/>
                  <v:textbox>
                    <w:txbxContent>
                      <w:p>
                        <w:pPr>
                          <w:ind w:firstLine="0" w:firstLineChars="0"/>
                        </w:pPr>
                        <w:r>
                          <w:rPr>
                            <w:rFonts w:hint="eastAsia" w:ascii="Arial Unicode MS" w:eastAsia="Arial Unicode MS" w:cs="Arial Unicode MS"/>
                            <w:kern w:val="0"/>
                            <w:position w:val="-3"/>
                            <w:sz w:val="18"/>
                            <w:szCs w:val="18"/>
                          </w:rPr>
                          <w:t>现场检测</w:t>
                        </w:r>
                      </w:p>
                    </w:txbxContent>
                  </v:textbox>
                </v:rect>
                <v:group id="_x0000_s1026" o:spid="_x0000_s1026" o:spt="203" style="position:absolute;left:5830;top:-3835;height:537;width:120;" coordorigin="5830,-3835" coordsize="120,537" o:gfxdata="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KnMbu29AAAA2wAAAA8AAAAAAAAAAQAg&#10;AAAAOAAAAGRycy9kb3ducmV2LnhtbFBLAQIUABQAAAAIAIdO4kAzLwWeOwAAADkAAAAVAAAAAAAA&#10;AAEAIAAAACIBAABkcnMvZ3JvdXBzaGFwZXhtbC54bWxQSwUGAAAAAAYABgBgAQAA3wMAAAAA&#10;">
                  <o:lock v:ext="edit" aspectratio="f"/>
                  <v:shape id="_x0000_s1026" o:spid="_x0000_s1026" o:spt="100" style="position:absolute;left:5830;top:-3835;height:537;width:120;" fillcolor="#000000" filled="t" stroked="f" coordsize="120,537" o:gfxdata="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EPbQzm+AAAA2wAAAA8AAAAAAAAAAQAgAAAAOAAAAGRycy9kb3ducmV2&#10;LnhtbFBLAQIUABQAAAAIAIdO4kAzLwWeOwAAADkAAAAQAAAAAAAAAAEAIAAAACMBAABkcnMvc2hh&#10;cGV4bWwueG1sUEsFBgAAAAAGAAYAWwEAAM0DAAAAAA==&#10;" path="m52,416l0,416,60,536,106,444,60,444,55,441,52,435,52,416e">
                    <v:fill on="t" focussize="0,0"/>
                    <v:stroke on="f"/>
                    <v:imagedata o:title=""/>
                    <o:lock v:ext="edit" aspectratio="f"/>
                  </v:shape>
                  <v:shape id="_x0000_s1026" o:spid="_x0000_s1026" o:spt="100" style="position:absolute;left:5830;top:-3835;height:537;width:120;" fillcolor="#000000" filled="t" stroked="f" coordsize="120,537" o:gfxdata="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LJfmor0AAADbAAAADwAAAAAAAAABACAAAAA4AAAAZHJzL2Rvd25yZXYu&#10;eG1sUEsBAhQAFAAAAAgAh07iQDMvBZ47AAAAOQAAABAAAAAAAAAAAQAgAAAAIgEAAGRycy9zaGFw&#10;ZXhtbC54bWxQSwUGAAAAAAYABgBbAQAAzAMAAAAA&#10;" path="m60,0l55,2,52,8,52,435,55,441,60,444,65,441,67,435,67,8,65,2,60,0e">
                    <v:fill on="t" focussize="0,0"/>
                    <v:stroke on="f"/>
                    <v:imagedata o:title=""/>
                    <o:lock v:ext="edit" aspectratio="f"/>
                  </v:shape>
                  <v:shape id="_x0000_s1026" o:spid="_x0000_s1026" o:spt="100" style="position:absolute;left:5830;top:-3835;height:537;width:120;" fillcolor="#000000" filled="t" stroked="f" coordsize="120,537" o:gfxdata="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KN+fta+AAAA2wAAAA8AAAAAAAAAAQAgAAAAOAAAAGRycy9kb3ducmV2&#10;LnhtbFBLAQIUABQAAAAIAIdO4kAzLwWeOwAAADkAAAAQAAAAAAAAAAEAIAAAACMBAABkcnMvc2hh&#10;cGV4bWwueG1sUEsFBgAAAAAGAAYAWwEAAM0DAAAAAA==&#10;" path="m120,416l67,416,67,435,65,441,60,444,106,444,120,416e">
                    <v:fill on="t" focussize="0,0"/>
                    <v:stroke on="f"/>
                    <v:imagedata o:title=""/>
                    <o:lock v:ext="edit" aspectratio="f"/>
                  </v:shape>
                </v:group>
                <v:group id="_x0000_s1026" o:spid="_x0000_s1026" o:spt="203" style="position:absolute;left:5830;top:-4891;height:537;width:120;" coordorigin="5830,-4891" coordsize="120,537" o:gfxdata="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CiBZOi9AAAA2wAAAA8AAAAAAAAAAQAg&#10;AAAAOAAAAGRycy9kb3ducmV2LnhtbFBLAQIUABQAAAAIAIdO4kAzLwWeOwAAADkAAAAVAAAAAAAA&#10;AAEAIAAAACIBAABkcnMvZ3JvdXBzaGFwZXhtbC54bWxQSwUGAAAAAAYABgBgAQAA3wMAAAAA&#10;">
                  <o:lock v:ext="edit" aspectratio="f"/>
                  <v:shape id="_x0000_s1026" o:spid="_x0000_s1026" o:spt="100" style="position:absolute;left:5830;top:-4891;height:537;width:120;" fillcolor="#000000" filled="t" stroked="f" coordsize="120,537" o:gfxdata="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84EU6vwAAANsAAAAPAAAAAAAAAAEAIAAAADgAAABkcnMvZG93bnJl&#10;di54bWxQSwECFAAUAAAACACHTuJAMy8FnjsAAAA5AAAAEAAAAAAAAAABACAAAAAkAQAAZHJzL3No&#10;YXBleG1sLnhtbFBLBQYAAAAABgAGAFsBAADOAwAAAAA=&#10;" path="m52,416l0,416,60,536,106,443,60,443,55,441,52,435,52,416e">
                    <v:fill on="t" focussize="0,0"/>
                    <v:stroke on="f"/>
                    <v:imagedata o:title=""/>
                    <o:lock v:ext="edit" aspectratio="f"/>
                  </v:shape>
                  <v:shape id="_x0000_s1026" o:spid="_x0000_s1026" o:spt="100" style="position:absolute;left:5830;top:-4891;height:537;width:120;" fillcolor="#000000" filled="t" stroked="f" coordsize="120,537" o:gfxdata="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FOs4KG+AAAA2wAAAA8AAAAAAAAAAQAgAAAAOAAAAGRycy9kb3ducmV2&#10;LnhtbFBLAQIUABQAAAAIAIdO4kAzLwWeOwAAADkAAAAQAAAAAAAAAAEAIAAAACMBAABkcnMvc2hh&#10;cGV4bWwueG1sUEsFBgAAAAAGAAYAWwEAAM0DAAAAAA==&#10;" path="m60,0l55,2,52,8,52,435,55,441,60,443,65,441,67,435,67,8,65,2,60,0e">
                    <v:fill on="t" focussize="0,0"/>
                    <v:stroke on="f"/>
                    <v:imagedata o:title=""/>
                    <o:lock v:ext="edit" aspectratio="f"/>
                  </v:shape>
                  <v:shape id="_x0000_s1026" o:spid="_x0000_s1026" o:spt="100" style="position:absolute;left:5830;top:-4891;height:537;width:120;" fillcolor="#000000" filled="t" stroked="f" coordsize="120,537" o:gfxdata="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IjN007oAAADbAAAADwAAAAAAAAABACAAAAA4AAAAZHJzL2Rvd25yZXYueG1s&#10;UEsBAhQAFAAAAAgAh07iQDMvBZ47AAAAOQAAABAAAAAAAAAAAQAgAAAAHwEAAGRycy9zaGFwZXht&#10;bC54bWxQSwUGAAAAAAYABgBbAQAAyQMAAAAA&#10;" path="m120,416l67,416,67,435,65,441,60,443,106,443,120,416e">
                    <v:fill on="t" focussize="0,0"/>
                    <v:stroke on="f"/>
                    <v:imagedata o:title=""/>
                    <o:lock v:ext="edit" aspectratio="f"/>
                  </v:shape>
                </v:group>
                <v:group id="_x0000_s1026" o:spid="_x0000_s1026" o:spt="203" style="position:absolute;left:5830;top:-5947;height:537;width:120;" coordorigin="5830,-5947" coordsize="120,537" o:gfxdata="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BFvIH+9AAAA2wAAAA8AAAAAAAAAAQAg&#10;AAAAOAAAAGRycy9kb3ducmV2LnhtbFBLAQIUABQAAAAIAIdO4kAzLwWeOwAAADkAAAAVAAAAAAAA&#10;AAEAIAAAACIBAABkcnMvZ3JvdXBzaGFwZXhtbC54bWxQSwUGAAAAAAYABgBgAQAA3wMAAAAA&#10;">
                  <o:lock v:ext="edit" aspectratio="f"/>
                  <v:shape id="_x0000_s1026" o:spid="_x0000_s1026" o:spt="100" style="position:absolute;left:5830;top:-5947;height:537;width:120;" fillcolor="#000000" filled="t" stroked="f" coordsize="120,537" o:gfxdata="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hEMLqLcAAADbAAAADwAAAAAAAAABACAAAAA4AAAAZHJzL2Rvd25yZXYueG1sUEsB&#10;AhQAFAAAAAgAh07iQDMvBZ47AAAAOQAAABAAAAAAAAAAAQAgAAAAHAEAAGRycy9zaGFwZXhtbC54&#10;bWxQSwUGAAAAAAYABgBbAQAAxgMAAAAA&#10;" path="m52,416l0,416,60,536,106,444,60,444,55,441,52,435,52,416e">
                    <v:fill on="t" focussize="0,0"/>
                    <v:stroke on="f"/>
                    <v:imagedata o:title=""/>
                    <o:lock v:ext="edit" aspectratio="f"/>
                  </v:shape>
                  <v:shape id="_x0000_s1026" o:spid="_x0000_s1026" o:spt="100" style="position:absolute;left:5830;top:-5947;height:537;width:120;" fillcolor="#000000" filled="t" stroked="f" coordsize="120,537" o:gfxdata="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OsPrjO+AAAA2wAAAA8AAAAAAAAAAQAgAAAAOAAAAGRycy9kb3ducmV2&#10;LnhtbFBLAQIUABQAAAAIAIdO4kAzLwWeOwAAADkAAAAQAAAAAAAAAAEAIAAAACMBAABkcnMvc2hh&#10;cGV4bWwueG1sUEsFBgAAAAAGAAYAWwEAAM0DAAAAAA==&#10;" path="m60,0l55,2,52,8,52,435,55,441,60,444,65,441,67,435,67,8,65,2,60,0e">
                    <v:fill on="t" focussize="0,0"/>
                    <v:stroke on="f"/>
                    <v:imagedata o:title=""/>
                    <o:lock v:ext="edit" aspectratio="f"/>
                  </v:shape>
                  <v:shape id="_x0000_s1026" o:spid="_x0000_s1026" o:spt="100" style="position:absolute;left:5830;top:-5947;height:537;width:120;" fillcolor="#000000" filled="t" stroked="f" coordsize="120,537" o:gfxdata="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BvdMES+AAAA2wAAAA8AAAAAAAAAAQAgAAAAOAAAAGRycy9kb3ducmV2&#10;LnhtbFBLAQIUABQAAAAIAIdO4kAzLwWeOwAAADkAAAAQAAAAAAAAAAEAIAAAACMBAABkcnMvc2hh&#10;cGV4bWwueG1sUEsFBgAAAAAGAAYAWwEAAM0DAAAAAA==&#10;" path="m120,416l67,416,67,435,65,441,60,444,106,444,120,416e">
                    <v:fill on="t" focussize="0,0"/>
                    <v:stroke on="f"/>
                    <v:imagedata o:title=""/>
                    <o:lock v:ext="edit" aspectratio="f"/>
                  </v:shape>
                </v:group>
                <v:rect id="_x0000_s1026" o:spid="_x0000_s1026" o:spt="1" style="position:absolute;left:4755;top:-2242;height:527;width:2270;" filled="f" stroked="t" coordsize="21600,21600" o:gfxdata="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GNmA0G7AAAA2wAAAA8AAAAAAAAAAQAgAAAAOAAAAGRycy9kb3ducmV2Lnht&#10;bFBLAQIUABQAAAAIAIdO4kAzLwWeOwAAADkAAAAQAAAAAAAAAAEAIAAAACABAABkcnMvc2hhcGV4&#10;bWwueG1sUEsFBgAAAAAGAAYAWwEAAMoDAAAAAA==&#10;">
                  <v:fill on="f" focussize="0,0"/>
                  <v:stroke color="#000000" joinstyle="miter"/>
                  <v:imagedata o:title=""/>
                  <o:lock v:ext="edit" aspectratio="f"/>
                  <v:textbox>
                    <w:txbxContent>
                      <w:p>
                        <w:pPr>
                          <w:ind w:firstLine="0" w:firstLineChars="0"/>
                        </w:pPr>
                        <w:r>
                          <w:rPr>
                            <w:rFonts w:hint="eastAsia" w:ascii="Arial Unicode MS" w:eastAsia="Arial Unicode MS" w:cs="Arial Unicode MS"/>
                            <w:kern w:val="0"/>
                            <w:position w:val="-3"/>
                            <w:sz w:val="18"/>
                            <w:szCs w:val="18"/>
                          </w:rPr>
                          <w:t>数据分析和结果评价</w:t>
                        </w:r>
                      </w:p>
                    </w:txbxContent>
                  </v:textbox>
                </v:rect>
                <v:group id="_x0000_s1026" o:spid="_x0000_s1026" o:spt="203" style="position:absolute;left:5830;top:-2779;height:537;width:120;" coordorigin="5830,-2779" coordsize="120,537" o:gfxdata="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">
                  <o:lock v:ext="edit" aspectratio="f"/>
                  <v:shape id="_x0000_s1026" o:spid="_x0000_s1026" o:spt="100" style="position:absolute;left:5830;top:-2779;height:537;width:120;" fillcolor="#000000" filled="t" stroked="f" coordsize="120,537" o:gfxdata="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UNKgwvAAAANsAAAAPAAAAAAAAAAEAIAAAADgAAABkcnMvZG93bnJldi54&#10;bWxQSwECFAAUAAAACACHTuJAMy8FnjsAAAA5AAAAEAAAAAAAAAABACAAAAAhAQAAZHJzL3NoYXBl&#10;eG1sLnhtbFBLBQYAAAAABgAGAFsBAADLAwAAAAA=&#10;" path="m52,416l0,416,60,536,106,444,60,444,55,441,52,435,52,416e">
                    <v:fill on="t" focussize="0,0"/>
                    <v:stroke on="f"/>
                    <v:imagedata o:title=""/>
                    <o:lock v:ext="edit" aspectratio="f"/>
                  </v:shape>
                  <v:shape id="_x0000_s1026" o:spid="_x0000_s1026" o:spt="100" style="position:absolute;left:5830;top:-2779;height:537;width:120;" fillcolor="#000000" filled="t" stroked="f" coordsize="120,537" o:gfxdata="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GTmNke+AAAA2wAAAA8AAAAAAAAAAQAgAAAAOAAAAGRycy9kb3ducmV2&#10;LnhtbFBLAQIUABQAAAAIAIdO4kAzLwWeOwAAADkAAAAQAAAAAAAAAAEAIAAAACMBAABkcnMvc2hh&#10;cGV4bWwueG1sUEsFBgAAAAAGAAYAWwEAAM0DAAAAAA==&#10;" path="m60,0l55,2,52,8,52,435,55,441,60,444,65,441,67,435,67,8,65,2,60,0e">
                    <v:fill on="t" focussize="0,0"/>
                    <v:stroke on="f"/>
                    <v:imagedata o:title=""/>
                    <o:lock v:ext="edit" aspectratio="f"/>
                  </v:shape>
                  <v:shape id="_x0000_s1026" o:spid="_x0000_s1026" o:spt="100" style="position:absolute;left:5830;top:-2779;height:537;width:120;" fillcolor="#000000" filled="t" stroked="f" coordsize="120,537" o:gfxdata="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C6qT3L0AAADbAAAADwAAAAAAAAABACAAAAA4AAAAZHJzL2Rvd25yZXYu&#10;eG1sUEsBAhQAFAAAAAgAh07iQDMvBZ47AAAAOQAAABAAAAAAAAAAAQAgAAAAIgEAAGRycy9zaGFw&#10;ZXhtbC54bWxQSwUGAAAAAAYABgBbAQAAzAMAAAAA&#10;" path="m120,416l67,416,67,435,65,441,60,444,106,444,120,416e">
                    <v:fill on="t" focussize="0,0"/>
                    <v:stroke on="f"/>
                    <v:imagedata o:title=""/>
                    <o:lock v:ext="edit" aspectratio="f"/>
                  </v:shape>
                </v:group>
                <v:rect id="_x0000_s1026" o:spid="_x0000_s1026" o:spt="1" style="position:absolute;left:5323;top:-1186;height:527;width:1135;" filled="f" stroked="t" coordsize="21600,21600" o:gfxdata="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jWes370AAADbAAAADwAAAAAAAAABACAAAAA4AAAAZHJzL2Rvd25yZXYu&#10;eG1sUEsBAhQAFAAAAAgAh07iQDMvBZ47AAAAOQAAABAAAAAAAAAAAQAgAAAAIgEAAGRycy9zaGFw&#10;ZXhtbC54bWxQSwUGAAAAAAYABgBbAQAAzAMAAAAA&#10;">
                  <v:fill on="f" focussize="0,0"/>
                  <v:stroke color="#000000" joinstyle="miter"/>
                  <v:imagedata o:title=""/>
                  <o:lock v:ext="edit" aspectratio="f"/>
                  <v:textbox>
                    <w:txbxContent>
                      <w:p>
                        <w:pPr>
                          <w:ind w:firstLine="0" w:firstLineChars="0"/>
                        </w:pPr>
                        <w:r>
                          <w:rPr>
                            <w:rFonts w:hint="eastAsia" w:ascii="Arial Unicode MS" w:eastAsia="Arial Unicode MS" w:cs="Arial Unicode MS"/>
                            <w:kern w:val="0"/>
                            <w:position w:val="-3"/>
                            <w:sz w:val="18"/>
                            <w:szCs w:val="18"/>
                          </w:rPr>
                          <w:t>检测报告</w:t>
                        </w:r>
                      </w:p>
                    </w:txbxContent>
                  </v:textbox>
                </v:rect>
                <v:group id="_x0000_s1026" o:spid="_x0000_s1026" o:spt="203" style="position:absolute;left:5830;top:-1723;height:537;width:120;" coordorigin="5830,-1723" coordsize="120,537" o:gfxdata="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JS2tqK9AAAA2wAAAA8AAAAAAAAAAQAg&#10;AAAAOAAAAGRycy9kb3ducmV2LnhtbFBLAQIUABQAAAAIAIdO4kAzLwWeOwAAADkAAAAVAAAAAAAA&#10;AAEAIAAAACIBAABkcnMvZ3JvdXBzaGFwZXhtbC54bWxQSwUGAAAAAAYABgBgAQAA3wMAAAAA&#10;">
                  <o:lock v:ext="edit" aspectratio="f"/>
                  <v:shape id="_x0000_s1026" o:spid="_x0000_s1026" o:spt="100" style="position:absolute;left:5830;top:-1723;height:537;width:120;" fillcolor="#000000" filled="t" stroked="f" coordsize="120,537" o:gfxdata="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AZqddboAAADbAAAADwAAAAAAAAABACAAAAA4AAAAZHJzL2Rvd25yZXYueG1s&#10;UEsBAhQAFAAAAAgAh07iQDMvBZ47AAAAOQAAABAAAAAAAAAAAQAgAAAAHwEAAGRycy9zaGFwZXht&#10;bC54bWxQSwUGAAAAAAYABgBbAQAAyQMAAAAA&#10;" path="m52,416l0,416,60,536,106,443,60,443,55,441,52,435,52,416e">
                    <v:fill on="t" focussize="0,0"/>
                    <v:stroke on="f"/>
                    <v:imagedata o:title=""/>
                    <o:lock v:ext="edit" aspectratio="f"/>
                  </v:shape>
                  <v:shape id="_x0000_s1026" o:spid="_x0000_s1026" o:spt="100" style="position:absolute;left:5830;top:-1723;height:537;width:120;" fillcolor="#000000" filled="t" stroked="f" coordsize="120,537" o:gfxdata="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G7WOO6+AAAA2wAAAA8AAAAAAAAAAQAgAAAAOAAAAGRycy9kb3ducmV2&#10;LnhtbFBLAQIUABQAAAAIAIdO4kAzLwWeOwAAADkAAAAQAAAAAAAAAAEAIAAAACMBAABkcnMvc2hh&#10;cGV4bWwueG1sUEsFBgAAAAAGAAYAWwEAAM0DAAAAAA==&#10;" path="m60,0l55,2,52,8,52,435,55,441,60,443,65,441,67,435,67,8,65,2,60,0e">
                    <v:fill on="t" focussize="0,0"/>
                    <v:stroke on="f"/>
                    <v:imagedata o:title=""/>
                    <o:lock v:ext="edit" aspectratio="f"/>
                  </v:shape>
                  <v:shape id="_x0000_s1026" o:spid="_x0000_s1026" o:spt="100" style="position:absolute;left:5830;top:-1723;height:537;width:120;" fillcolor="#000000" filled="t" stroked="f" coordsize="120,537" o:gfxdata="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J4Eppm+AAAA2wAAAA8AAAAAAAAAAQAgAAAAOAAAAGRycy9kb3ducmV2&#10;LnhtbFBLAQIUABQAAAAIAIdO4kAzLwWeOwAAADkAAAAQAAAAAAAAAAEAIAAAACMBAABkcnMvc2hh&#10;cGV4bWwueG1sUEsFBgAAAAAGAAYAWwEAAM0DAAAAAA==&#10;" path="m120,416l67,416,67,435,65,441,60,443,106,443,120,416e">
                    <v:fill on="t" focussize="0,0"/>
                    <v:stroke on="f"/>
                    <v:imagedata o:title=""/>
                    <o:lock v:ext="edit" aspectratio="f"/>
                  </v:shape>
                </v:group>
                <v:rect id="_x0000_s1026" o:spid="_x0000_s1026" o:spt="1" style="position:absolute;left:7593;top:-3298;height:527;width:1987;" filled="f" stroked="t" coordsize="21600,21600" o:gfxdata="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5r+VnL0AAADbAAAADwAAAAAAAAABACAAAAA4AAAAZHJzL2Rvd25yZXYu&#10;eG1sUEsBAhQAFAAAAAgAh07iQDMvBZ47AAAAOQAAABAAAAAAAAAAAQAgAAAAIgEAAGRycy9zaGFw&#10;ZXhtbC54bWxQSwUGAAAAAAYABgBbAQAAzAMAAAAA&#10;">
                  <v:fill on="f" focussize="0,0"/>
                  <v:stroke color="#000000" joinstyle="miter"/>
                  <v:imagedata o:title=""/>
                  <o:lock v:ext="edit" aspectratio="f"/>
                  <v:textbox>
                    <w:txbxContent>
                      <w:p>
                        <w:pPr>
                          <w:ind w:firstLine="0" w:firstLineChars="0"/>
                        </w:pPr>
                        <w:r>
                          <w:rPr>
                            <w:rFonts w:hint="eastAsia" w:ascii="Arial Unicode MS" w:eastAsia="Arial Unicode MS" w:cs="Arial Unicode MS"/>
                            <w:kern w:val="0"/>
                            <w:position w:val="-3"/>
                            <w:sz w:val="18"/>
                            <w:szCs w:val="18"/>
                          </w:rPr>
                          <w:t>验证检测、扩大检测</w:t>
                        </w:r>
                      </w:p>
                    </w:txbxContent>
                  </v:textbox>
                </v:rect>
                <v:shape id="_x0000_s1026" o:spid="_x0000_s1026" o:spt="100" style="position:absolute;left:8588;top:-7258;height:3960;width:20;" filled="f" stroked="t" coordsize="20,3960" o:gfxdata="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dbcDuvwAAANsAAAAPAAAAAAAAAAEAIAAAADgAAABkcnMvZG93bnJl&#10;di54bWxQSwECFAAUAAAACACHTuJAMy8FnjsAAAA5AAAAEAAAAAAAAAABACAAAAAkAQAAZHJzL3No&#10;YXBleG1sLnhtbFBLBQYAAAAABgAGAFsBAADOAwAAAAA=&#10;" path="m0,3960l0,0e">
                  <v:fill on="f" focussize="0,0"/>
                  <v:stroke color="#000000" joinstyle="round"/>
                  <v:imagedata o:title=""/>
                  <o:lock v:ext="edit" aspectratio="f"/>
                </v:shape>
                <v:group id="_x0000_s1026" o:spid="_x0000_s1026" o:spt="203" style="position:absolute;left:6458;top:-7318;height:120;width:2137;" coordorigin="6458,-7318" coordsize="2137,120" o:gfxdata="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PVegUi9AAAA2wAAAA8AAAAAAAAAAQAg&#10;AAAAOAAAAGRycy9kb3ducmV2LnhtbFBLAQIUABQAAAAIAIdO4kAzLwWeOwAAADkAAAAVAAAAAAAA&#10;AAEAIAAAACIBAABkcnMvZ3JvdXBzaGFwZXhtbC54bWxQSwUGAAAAAAYABgBgAQAA3wMAAAAA&#10;">
                  <o:lock v:ext="edit" aspectratio="f"/>
                  <v:shape id="_x0000_s1026" o:spid="_x0000_s1026" o:spt="100" style="position:absolute;left:6458;top:-7318;height:120;width:2137;" fillcolor="#000000" filled="t" stroked="f" coordsize="2137,120" o:gfxdata="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bjsCdvwAAANsAAAAPAAAAAAAAAAEAIAAAADgAAABkcnMvZG93bnJl&#10;di54bWxQSwECFAAUAAAACACHTuJAMy8FnjsAAAA5AAAAEAAAAAAAAAABACAAAAAkAQAAZHJzL3No&#10;YXBleG1sLnhtbFBLBQYAAAAABgAGAFsBAADOAwAAAAA=&#10;" path="m120,0l0,60,120,120,120,67,100,67,94,64,93,60,94,53,100,51,120,51,120,0e">
                    <v:fill on="t" focussize="0,0"/>
                    <v:stroke on="f"/>
                    <v:imagedata o:title=""/>
                    <o:lock v:ext="edit" aspectratio="f"/>
                  </v:shape>
                  <v:shape id="_x0000_s1026" o:spid="_x0000_s1026" o:spt="100" style="position:absolute;left:6458;top:-7318;height:120;width:2137;" fillcolor="#000000" filled="t" stroked="f" coordsize="2137,120" o:gfxdata="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0wmUGvwAAANsAAAAPAAAAAAAAAAEAIAAAADgAAABkcnMvZG93bnJl&#10;di54bWxQSwECFAAUAAAACACHTuJAMy8FnjsAAAA5AAAAEAAAAAAAAAABACAAAAAkAQAAZHJzL3No&#10;YXBleG1sLnhtbFBLBQYAAAAABgAGAFsBAADOAwAAAAA=&#10;" path="m120,51l100,51,94,53,93,60,94,64,100,67,120,67,120,51e">
                    <v:fill on="t" focussize="0,0"/>
                    <v:stroke on="f"/>
                    <v:imagedata o:title=""/>
                    <o:lock v:ext="edit" aspectratio="f"/>
                  </v:shape>
                  <v:shape id="_x0000_s1026" o:spid="_x0000_s1026" o:spt="100" style="position:absolute;left:6458;top:-7318;height:120;width:2137;" fillcolor="#000000" filled="t" stroked="f" coordsize="2137,120" o:gfxdata="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FXfF0vAAAANsAAAAPAAAAAAAAAAEAIAAAADgAAABkcnMvZG93bnJldi54&#10;bWxQSwECFAAUAAAACACHTuJAMy8FnjsAAAA5AAAAEAAAAAAAAAABACAAAAAhAQAAZHJzL3NoYXBl&#10;eG1sLnhtbFBLBQYAAAAABgAGAFsBAADLAwAAAAA=&#10;" path="m2130,51l120,51,120,67,2130,67,2134,64,2137,60,2134,53,2130,51e">
                    <v:fill on="t" focussize="0,0"/>
                    <v:stroke on="f"/>
                    <v:imagedata o:title=""/>
                    <o:lock v:ext="edit" aspectratio="f"/>
                  </v:shape>
                </v:group>
                <v:group id="_x0000_s1026" o:spid="_x0000_s1026" o:spt="203" style="position:absolute;left:8528;top:-2770;height:1855;width:120;" coordorigin="8528,-2770" coordsize="120,1855" o:gfxdata="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">
                  <o:lock v:ext="edit" aspectratio="f"/>
                  <v:shape id="_x0000_s1026" o:spid="_x0000_s1026" o:spt="100" style="position:absolute;left:8528;top:-2770;height:1855;width:120;" fillcolor="#000000" filled="t" stroked="f" coordsize="120,1855" o:gfxdata="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BxJR57uQAAANsAAAAPAAAAAAAAAAEAIAAAADgAAABkcnMvZG93bnJldi54bWxQ&#10;SwECFAAUAAAACACHTuJAMy8FnjsAAAA5AAAAEAAAAAAAAAABACAAAAAeAQAAZHJzL3NoYXBleG1s&#10;LnhtbFBLBQYAAAAABgAGAFsBAADIAwAAAAA=&#10;" path="m60,92l53,94,51,99,51,1847,53,1852,60,1855,64,1852,67,1847,67,99,64,94,60,92e">
                    <v:fill on="t" focussize="0,0"/>
                    <v:stroke on="f"/>
                    <v:imagedata o:title=""/>
                    <o:lock v:ext="edit" aspectratio="f"/>
                  </v:shape>
                  <v:shape id="_x0000_s1026" o:spid="_x0000_s1026" o:spt="100" style="position:absolute;left:8528;top:-2770;height:1855;width:120;" fillcolor="#000000" filled="t" stroked="f" coordsize="120,1855" o:gfxdata="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Hmm74L0AAADbAAAADwAAAAAAAAABACAAAAA4AAAAZHJzL2Rvd25yZXYu&#10;eG1sUEsBAhQAFAAAAAgAh07iQDMvBZ47AAAAOQAAABAAAAAAAAAAAQAgAAAAIgEAAGRycy9zaGFw&#10;ZXhtbC54bWxQSwUGAAAAAAYABgBbAQAAzAMAAAAA&#10;" path="m60,0l0,120,51,120,51,99,53,94,60,92,106,92,60,0e">
                    <v:fill on="t" focussize="0,0"/>
                    <v:stroke on="f"/>
                    <v:imagedata o:title=""/>
                    <o:lock v:ext="edit" aspectratio="f"/>
                  </v:shape>
                  <v:shape id="_x0000_s1026" o:spid="_x0000_s1026" o:spt="100" style="position:absolute;left:8528;top:-2770;height:1855;width:120;" fillcolor="#000000" filled="t" stroked="f" coordsize="120,1855" o:gfxdata="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uuyWXvAAAANsAAAAPAAAAAAAAAAEAIAAAADgAAABkcnMvZG93bnJldi54&#10;bWxQSwECFAAUAAAACACHTuJAMy8FnjsAAAA5AAAAEAAAAAAAAAABACAAAAAhAQAAZHJzL3NoYXBl&#10;eG1sLnhtbFBLBQYAAAAABgAGAFsBAADLAwAAAAA=&#10;" path="m106,92l60,92,64,94,67,99,67,120,120,120,106,92e">
                    <v:fill on="t" focussize="0,0"/>
                    <v:stroke on="f"/>
                    <v:imagedata o:title=""/>
                    <o:lock v:ext="edit" aspectratio="f"/>
                  </v:shape>
                </v:group>
                <v:shape id="_x0000_s1026" o:spid="_x0000_s1026" o:spt="100" style="position:absolute;left:6494;top:-933;height:20;width:2160;" filled="f" stroked="t" coordsize="2160,20" o:gfxdata="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lPaJ2vAAAANsAAAAPAAAAAAAAAAEAIAAAADgAAABkcnMvZG93bnJldi54&#10;bWxQSwECFAAUAAAACACHTuJAMy8FnjsAAAA5AAAAEAAAAAAAAAABACAAAAAhAQAAZHJzL3NoYXBl&#10;eG1sLnhtbFBLBQYAAAAABgAGAFsBAADLAwAAAAA=&#10;" path="m0,0l2160,0e">
                  <v:fill on="f" focussize="0,0"/>
                  <v:stroke color="#000000" joinstyle="round"/>
                  <v:imagedata o:title=""/>
                  <o:lock v:ext="edit" aspectratio="f"/>
                </v:shape>
                <v:rect id="_x0000_s1026" o:spid="_x0000_s1026" o:spt="1" style="position:absolute;left:2430;top:-4402;height:527;width:2318;" filled="f" stroked="t" coordsize="21600,21600" o:gfxdata="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R5/6ur0AAADbAAAADwAAAAAAAAABACAAAAA4AAAAZHJzL2Rvd25yZXYu&#10;eG1sUEsBAhQAFAAAAAgAh07iQDMvBZ47AAAAOQAAABAAAAAAAAAAAQAgAAAAIgEAAGRycy9zaGFw&#10;ZXhtbC54bWxQSwUGAAAAAAYABgBbAQAAzAMAAAAA&#10;">
                  <v:fill on="f" focussize="0,0"/>
                  <v:stroke color="#000000" joinstyle="miter"/>
                  <v:imagedata o:title=""/>
                  <o:lock v:ext="edit" aspectratio="f"/>
                  <v:textbox>
                    <w:txbxContent>
                      <w:p>
                        <w:pPr>
                          <w:ind w:firstLine="180" w:firstLineChars="100"/>
                        </w:pPr>
                        <w:r>
                          <w:rPr>
                            <w:rFonts w:hint="eastAsia" w:ascii="Arial Unicode MS" w:eastAsia="Arial Unicode MS" w:cs="Arial Unicode MS"/>
                            <w:kern w:val="0"/>
                            <w:sz w:val="18"/>
                            <w:szCs w:val="18"/>
                          </w:rPr>
                          <w:t>仪器设备校准、率定</w:t>
                        </w:r>
                      </w:p>
                    </w:txbxContent>
                  </v:textbox>
                </v:rect>
                <v:group id="_x0000_s1026" o:spid="_x0000_s1026" o:spt="203" style="position:absolute;left:4713;top:-4150;height:120;width:323;" coordorigin="4713,-4150" coordsize="323,120" o:gfxdata="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OzJL9b8AAADbAAAADwAAAAAAAAAB&#10;ACAAAAA4AAAAZHJzL2Rvd25yZXYueG1sUEsBAhQAFAAAAAgAh07iQDMvBZ47AAAAOQAAABUAAAAA&#10;AAAAAQAgAAAAJAEAAGRycy9ncm91cHNoYXBleG1sLnhtbFBLBQYAAAAABgAGAGABAADhAwAAAAA=&#10;">
                  <o:lock v:ext="edit" aspectratio="f"/>
                  <v:shape id="_x0000_s1026" o:spid="_x0000_s1026" o:spt="100" style="position:absolute;left:4713;top:-4150;height:120;width:323;" fillcolor="#000000" filled="t" stroked="f" coordsize="323,120" o:gfxdata="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Xr2/RvAAAANsAAAAPAAAAAAAAAAEAIAAAADgAAABkcnMvZG93bnJldi54&#10;bWxQSwECFAAUAAAACACHTuJAMy8FnjsAAAA5AAAAEAAAAAAAAAABACAAAAAhAQAAZHJzL3NoYXBl&#10;eG1sLnhtbFBLBQYAAAAABgAGAFsBAADLAwAAAAA=&#10;" path="m202,0l202,120,308,67,221,67,228,64,230,60,228,53,221,51,305,51,202,0e">
                    <v:fill on="t" focussize="0,0"/>
                    <v:stroke on="f"/>
                    <v:imagedata o:title=""/>
                    <o:lock v:ext="edit" aspectratio="f"/>
                  </v:shape>
                  <v:shape id="_x0000_s1026" o:spid="_x0000_s1026" o:spt="100" style="position:absolute;left:4713;top:-4150;height:120;width:323;" fillcolor="#000000" filled="t" stroked="f" coordsize="323,120" o:gfxdata="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&#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Djjykq4AAAA2wAAAA8AAAAAAAAAAQAgAAAAOAAAAGRycy9kb3ducmV2LnhtbFBL&#10;AQIUABQAAAAIAIdO4kAzLwWeOwAAADkAAAAQAAAAAAAAAAEAIAAAAB0BAABkcnMvc2hhcGV4bWwu&#10;eG1sUEsFBgAAAAAGAAYAWwEAAMcDAAAAAA==&#10;" path="m202,51l7,51,2,53,0,60,2,64,7,67,202,67,202,51e">
                    <v:fill on="t" focussize="0,0"/>
                    <v:stroke on="f"/>
                    <v:imagedata o:title=""/>
                    <o:lock v:ext="edit" aspectratio="f"/>
                  </v:shape>
                  <v:shape id="_x0000_s1026" o:spid="_x0000_s1026" o:spt="100" style="position:absolute;left:4713;top:-4150;height:120;width:323;" fillcolor="#000000" filled="t" stroked="f" coordsize="323,120" o:gfxdata="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" path="m305,51l221,51,228,53,230,60,228,64,221,67,308,67,322,60,305,51e">
                    <v:fill on="t" focussize="0,0"/>
                    <v:stroke on="f"/>
                    <v:imagedata o:title=""/>
                    <o:lock v:ext="edit" aspectratio="f"/>
                  </v:shape>
                </v:group>
                <v:rect id="_x0000_s1026" o:spid="_x0000_s1026" o:spt="1" style="position:absolute;left:1990;top:-3310;height:527;width:1135;" filled="f" stroked="t" coordsize="21600,21600" o:gfxdata="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DSMc//uQAAANsAAAAPAAAAAAAAAAEAIAAAADgAAABkcnMvZG93bnJldi54bWxQ&#10;SwECFAAUAAAACACHTuJAMy8FnjsAAAA5AAAAEAAAAAAAAAABACAAAAAeAQAAZHJzL3NoYXBleG1s&#10;LnhtbFBLBQYAAAAABgAGAFsBAADIAwAAAAA=&#10;">
                  <v:fill on="f" focussize="0,0"/>
                  <v:stroke color="#000000" joinstyle="miter"/>
                  <v:imagedata o:title=""/>
                  <o:lock v:ext="edit" aspectratio="f"/>
                  <v:textbox>
                    <w:txbxContent>
                      <w:p>
                        <w:pPr>
                          <w:autoSpaceDE w:val="0"/>
                          <w:autoSpaceDN w:val="0"/>
                          <w:adjustRightInd w:val="0"/>
                          <w:spacing w:line="252" w:lineRule="exact"/>
                          <w:ind w:firstLine="0" w:firstLineChars="0"/>
                          <w:jc w:val="left"/>
                          <w:rPr>
                            <w:rFonts w:ascii="Arial Unicode MS" w:eastAsia="Arial Unicode MS" w:cs="Arial Unicode MS"/>
                            <w:kern w:val="0"/>
                            <w:sz w:val="18"/>
                            <w:szCs w:val="18"/>
                          </w:rPr>
                        </w:pPr>
                        <w:r>
                          <w:rPr>
                            <w:rFonts w:hint="eastAsia" w:ascii="Arial Unicode MS" w:eastAsia="Arial Unicode MS" w:cs="Arial Unicode MS"/>
                            <w:kern w:val="0"/>
                            <w:position w:val="-1"/>
                            <w:sz w:val="18"/>
                            <w:szCs w:val="18"/>
                          </w:rPr>
                          <w:t>重新检测</w:t>
                        </w:r>
                      </w:p>
                      <w:p>
                        <w:pPr>
                          <w:ind w:firstLine="480"/>
                          <w:jc w:val="center"/>
                        </w:pPr>
                      </w:p>
                    </w:txbxContent>
                  </v:textbox>
                </v:rect>
                <v:group id="_x0000_s1026" o:spid="_x0000_s1026" o:spt="203" style="position:absolute;left:2456;top:-2842;height:799;width:120;" coordorigin="2456,-2842" coordsize="120,799" o:gfxdata="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UOpytr8AAADbAAAADwAAAAAAAAAB&#10;ACAAAAA4AAAAZHJzL2Rvd25yZXYueG1sUEsBAhQAFAAAAAgAh07iQDMvBZ47AAAAOQAAABUAAAAA&#10;AAAAAQAgAAAAJAEAAGRycy9ncm91cHNoYXBleG1sLnhtbFBLBQYAAAAABgAGAGABAADhAwAAAAA=&#10;">
                  <o:lock v:ext="edit" aspectratio="f"/>
                  <v:shape id="_x0000_s1026" o:spid="_x0000_s1026" o:spt="100" style="position:absolute;left:2456;top:-2842;height:799;width:120;" fillcolor="#000000" filled="t" stroked="f" coordsize="120,799" o:gfxdata="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qw0GpvAAAANsAAAAPAAAAAAAAAAEAIAAAADgAAABkcnMvZG93bnJldi54&#10;bWxQSwECFAAUAAAACACHTuJAMy8FnjsAAAA5AAAAEAAAAAAAAAABACAAAAAhAQAAZHJzL3NoYXBl&#10;eG1sLnhtbFBLBQYAAAAABgAGAFsBAADLAwAAAAA=&#10;" path="m60,92l54,94,51,99,51,792,54,796,60,799,64,796,67,792,67,99,64,94,60,92e">
                    <v:fill on="t" focussize="0,0"/>
                    <v:stroke on="f"/>
                    <v:imagedata o:title=""/>
                    <o:lock v:ext="edit" aspectratio="f"/>
                  </v:shape>
                  <v:shape id="_x0000_s1026" o:spid="_x0000_s1026" o:spt="100" style="position:absolute;left:2456;top:-2842;height:799;width:120;" fillcolor="#000000" filled="t" stroked="f" coordsize="120,799" o:gfxdata="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WhHf3r0AAADbAAAADwAAAAAAAAABACAAAAA4AAAAZHJzL2Rvd25yZXYu&#10;eG1sUEsBAhQAFAAAAAgAh07iQDMvBZ47AAAAOQAAABAAAAAAAAAAAQAgAAAAIgEAAGRycy9zaGFw&#10;ZXhtbC54bWxQSwUGAAAAAAYABgBbAQAAzAMAAAAA&#10;" path="m60,0l0,120,51,120,51,99,54,94,60,92,106,92,60,0e">
                    <v:fill on="t" focussize="0,0"/>
                    <v:stroke on="f"/>
                    <v:imagedata o:title=""/>
                    <o:lock v:ext="edit" aspectratio="f"/>
                  </v:shape>
                  <v:shape id="_x0000_s1026" o:spid="_x0000_s1026" o:spt="100" style="position:absolute;left:2456;top:-2842;height:799;width:120;" fillcolor="#000000" filled="t" stroked="f" coordsize="120,799" o:gfxdata="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NV16Rb0AAADbAAAADwAAAAAAAAABACAAAAA4AAAAZHJzL2Rvd25yZXYu&#10;eG1sUEsBAhQAFAAAAAgAh07iQDMvBZ47AAAAOQAAABAAAAAAAAAAAQAgAAAAIgEAAGRycy9zaGFw&#10;ZXhtbC54bWxQSwUGAAAAAAYABgBbAQAAzAMAAAAA&#10;" path="m106,92l60,92,64,94,67,99,67,120,120,120,106,92e">
                    <v:fill on="t" focussize="0,0"/>
                    <v:stroke on="f"/>
                    <v:imagedata o:title=""/>
                    <o:lock v:ext="edit" aspectratio="f"/>
                  </v:shape>
                </v:group>
                <v:shape id="_x0000_s1026" o:spid="_x0000_s1026" o:spt="100" style="position:absolute;left:2516;top:-2062;height:20;width:2204;" filled="f" stroked="t" coordsize="2204,20" o:gfxdata="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heTaZL0AAADbAAAADwAAAAAAAAABACAAAAA4AAAAZHJzL2Rvd25yZXYu&#10;eG1sUEsBAhQAFAAAAAgAh07iQDMvBZ47AAAAOQAAABAAAAAAAAAAAQAgAAAAIgEAAGRycy9zaGFw&#10;ZXhtbC54bWxQSwUGAAAAAAYABgBbAQAAzAMAAAAA&#10;" path="m0,0l2204,0e">
                  <v:fill on="f" focussize="0,0"/>
                  <v:stroke color="#000000" joinstyle="round"/>
                  <v:imagedata o:title=""/>
                  <o:lock v:ext="edit" aspectratio="f"/>
                </v:shape>
                <v:shape id="_x0000_s1026" o:spid="_x0000_s1026" o:spt="100" style="position:absolute;left:2200;top:-5160;height:1872;width:20;" filled="f" stroked="t" coordsize="20,1872" o:gfxdata="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HlT8l+7AAAA2wAAAA8AAAAAAAAAAQAgAAAAOAAAAGRycy9kb3ducmV2Lnht&#10;bFBLAQIUABQAAAAIAIdO4kAzLwWeOwAAADkAAAAQAAAAAAAAAAEAIAAAACABAABkcnMvc2hhcGV4&#10;bWwueG1sUEsFBgAAAAAGAAYAWwEAAMoDAAAAAA==&#10;" path="m0,1872l0,0e">
                  <v:fill on="f" focussize="0,0"/>
                  <v:stroke color="#000000" joinstyle="round"/>
                  <v:imagedata o:title=""/>
                  <o:lock v:ext="edit" aspectratio="f"/>
                </v:shape>
                <v:group id="_x0000_s1026" o:spid="_x0000_s1026" o:spt="203" style="position:absolute;left:2193;top:-5242;height:120;width:2843;" coordorigin="2193,-5242" coordsize="2843,120" o:gfxdata="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">
                  <o:lock v:ext="edit" aspectratio="f"/>
                  <v:shape id="_x0000_s1026" o:spid="_x0000_s1026" o:spt="100" style="position:absolute;left:2193;top:-5242;height:120;width:2843;" fillcolor="#000000" filled="t" stroked="f" coordsize="2843,120" o:gfxdata="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mPddPr0AAADbAAAADwAAAAAAAAABACAAAAA4AAAAZHJzL2Rvd25yZXYu&#10;eG1sUEsBAhQAFAAAAAgAh07iQDMvBZ47AAAAOQAAABAAAAAAAAAAAQAgAAAAIgEAAGRycy9zaGFw&#10;ZXhtbC54bWxQSwUGAAAAAAYABgBbAQAAzAMAAAAA&#10;" path="m2722,0l2722,120,2828,67,2742,67,2748,64,2750,60,2748,54,2742,51,2826,51,2722,0e">
                    <v:fill on="t" focussize="0,0"/>
                    <v:stroke on="f"/>
                    <v:imagedata o:title=""/>
                    <o:lock v:ext="edit" aspectratio="f"/>
                  </v:shape>
                  <v:shape id="_x0000_s1026" o:spid="_x0000_s1026" o:spt="100" style="position:absolute;left:2193;top:-5242;height:120;width:2843;" fillcolor="#000000" filled="t" stroked="f" coordsize="2843,120" o:gfxdata="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6WjJTLoAAADbAAAADwAAAAAAAAABACAAAAA4AAAAZHJzL2Rvd25yZXYueG1s&#10;UEsBAhQAFAAAAAgAh07iQDMvBZ47AAAAOQAAABAAAAAAAAAAAQAgAAAAHwEAAGRycy9zaGFwZXht&#10;bC54bWxQSwUGAAAAAAYABgBbAQAAyQMAAAAA&#10;" path="m2722,51l7,51,2,54,0,60,2,64,7,67,2722,67,2722,51e">
                    <v:fill on="t" focussize="0,0"/>
                    <v:stroke on="f"/>
                    <v:imagedata o:title=""/>
                    <o:lock v:ext="edit" aspectratio="f"/>
                  </v:shape>
                  <v:shape id="_x0000_s1026" o:spid="_x0000_s1026" o:spt="100" style="position:absolute;left:2193;top:-5242;height:120;width:2843;" fillcolor="#000000" filled="t" stroked="f" coordsize="2843,120" o:gfxdata="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hiRs170AAADbAAAADwAAAAAAAAABACAAAAA4AAAAZHJzL2Rvd25yZXYu&#10;eG1sUEsBAhQAFAAAAAgAh07iQDMvBZ47AAAAOQAAABAAAAAAAAAAAQAgAAAAIgEAAGRycy9zaGFw&#10;ZXhtbC54bWxQSwUGAAAAAAYABgBbAQAAzAMAAAAA&#10;" path="m2826,51l2742,51,2748,54,2750,60,2748,64,2742,67,2828,67,2842,60,2826,51e">
                    <v:fill on="t" focussize="0,0"/>
                    <v:stroke on="f"/>
                    <v:imagedata o:title=""/>
                    <o:lock v:ext="edit" aspectratio="f"/>
                  </v:shape>
                </v:group>
                <w10:wrap type="square"/>
              </v:group>
            </w:pict>
          </mc:Fallback>
        </mc:AlternateContent>
      </w:r>
      <w:r>
        <w:rPr>
          <w:rFonts w:hint="eastAsia"/>
        </w:rPr>
        <w:t>8</w:t>
      </w:r>
      <w:r>
        <w:t>.1.</w:t>
      </w:r>
      <w:r>
        <w:rPr>
          <w:rFonts w:hint="eastAsia"/>
        </w:rPr>
        <w:t>2</w:t>
      </w:r>
      <w:r>
        <w:t xml:space="preserve">  </w:t>
      </w:r>
      <w:r>
        <w:tab/>
      </w:r>
      <w:r>
        <w:rPr>
          <w:rFonts w:hint="eastAsia"/>
        </w:rPr>
        <w:t>检测工作的程序，应按图8</w:t>
      </w:r>
      <w:r>
        <w:t>.1.</w:t>
      </w:r>
      <w:r>
        <w:rPr>
          <w:rFonts w:hint="eastAsia"/>
        </w:rPr>
        <w:t>2进行。</w:t>
      </w:r>
    </w:p>
    <w:p>
      <w:pPr>
        <w:pStyle w:val="11"/>
      </w:pPr>
      <w:r>
        <w:rPr>
          <w:rFonts w:hint="eastAsia"/>
        </w:rPr>
        <w:t xml:space="preserve">图8.1.2  </w:t>
      </w:r>
      <w:r>
        <w:rPr>
          <w:rFonts w:hint="eastAsia"/>
        </w:rPr>
        <w:tab/>
      </w:r>
      <w:r>
        <w:rPr>
          <w:rFonts w:hint="eastAsia"/>
        </w:rPr>
        <w:t>检测工作程序框图</w:t>
      </w:r>
    </w:p>
    <w:p>
      <w:pPr>
        <w:ind w:firstLine="0" w:firstLineChars="0"/>
      </w:pPr>
      <w:r>
        <w:rPr>
          <w:rFonts w:hint="eastAsia"/>
        </w:rPr>
        <w:t>8</w:t>
      </w:r>
      <w:r>
        <w:t>.1.</w:t>
      </w:r>
      <w:r>
        <w:rPr>
          <w:rFonts w:hint="eastAsia"/>
        </w:rPr>
        <w:t>3</w:t>
      </w:r>
      <w:r>
        <w:t xml:space="preserve"> </w:t>
      </w:r>
      <w:r>
        <w:rPr>
          <w:rFonts w:hint="eastAsia"/>
        </w:rPr>
        <w:t xml:space="preserve"> </w:t>
      </w:r>
      <w:r>
        <w:tab/>
      </w:r>
      <w:r>
        <w:t>调查、资料收集宜包括下列内容：</w:t>
      </w:r>
    </w:p>
    <w:p>
      <w:pPr>
        <w:ind w:firstLine="480"/>
      </w:pPr>
      <w:r>
        <w:rPr>
          <w:rFonts w:hint="eastAsia"/>
        </w:rPr>
        <w:t xml:space="preserve">1  </w:t>
      </w:r>
      <w:r>
        <w:t>收集被检测工程的岩土工程勘察资料、地基基础设计及施工资料；了解施工工艺和施工中出现的异常情况。</w:t>
      </w:r>
    </w:p>
    <w:p>
      <w:pPr>
        <w:ind w:firstLine="480"/>
      </w:pPr>
      <w:r>
        <w:rPr>
          <w:rFonts w:hint="eastAsia"/>
        </w:rPr>
        <w:t xml:space="preserve">2  </w:t>
      </w:r>
      <w:r>
        <w:t>进一步明确委托方的具体要求。</w:t>
      </w:r>
    </w:p>
    <w:p>
      <w:pPr>
        <w:ind w:firstLine="480"/>
      </w:pPr>
      <w:r>
        <w:rPr>
          <w:rFonts w:hint="eastAsia"/>
        </w:rPr>
        <w:t xml:space="preserve">3  </w:t>
      </w:r>
      <w:r>
        <w:t>分析检测项目现场实施的可行性。</w:t>
      </w:r>
    </w:p>
    <w:p>
      <w:pPr>
        <w:ind w:firstLine="0" w:firstLineChars="0"/>
      </w:pPr>
      <w:r>
        <w:rPr>
          <w:rFonts w:hint="eastAsia"/>
        </w:rPr>
        <w:t>8</w:t>
      </w:r>
      <w:r>
        <w:t>.1.</w:t>
      </w:r>
      <w:r>
        <w:rPr>
          <w:rFonts w:hint="eastAsia"/>
        </w:rPr>
        <w:t xml:space="preserve">4 </w:t>
      </w:r>
      <w:r>
        <w:t xml:space="preserve"> </w:t>
      </w:r>
      <w:r>
        <w:tab/>
      </w:r>
      <w:r>
        <w:t>检测单位应根据调查结果和确定的检测目的，选择检测方法，制定检测方案。检测方案宜包含以下内容：工程概况，检测方法及其所依据的规范标准，检测数量，抽样方案，所需的机械设备和人工配合，试验时间要求；必要时还应包括桩头开挖、加固、处理，场地平整，道路修筑，供水供电等要求。根据现场试验结果，判断所选择的检测方法不能满足检测目的时，应重新选择检测方法，制定检测方案。不能完全满足检测目的的检测结果，不能计入抽检数量。</w:t>
      </w:r>
    </w:p>
    <w:p>
      <w:pPr>
        <w:ind w:firstLine="0" w:firstLineChars="0"/>
      </w:pPr>
      <w:r>
        <w:rPr>
          <w:rFonts w:hint="eastAsia"/>
        </w:rPr>
        <w:t>8</w:t>
      </w:r>
      <w:r>
        <w:t>.1.</w:t>
      </w:r>
      <w:r>
        <w:rPr>
          <w:rFonts w:hint="eastAsia"/>
        </w:rPr>
        <w:t>5</w:t>
      </w:r>
      <w:r>
        <w:t xml:space="preserve"> </w:t>
      </w:r>
      <w:r>
        <w:rPr>
          <w:rFonts w:hint="eastAsia"/>
        </w:rPr>
        <w:t xml:space="preserve"> </w:t>
      </w:r>
      <w:r>
        <w:tab/>
      </w:r>
      <w:r>
        <w:t>工程验收检测的抽检数量应按单位工程计算。当单位工程由若干个子单位工程组成时，抽检数量宜按子单位工程计算。</w:t>
      </w:r>
    </w:p>
    <w:p>
      <w:pPr>
        <w:ind w:firstLine="480"/>
      </w:pPr>
      <w:r>
        <w:t>同一单位工程采用不同地基和桩的类型时，应分别确定检测方法和抽检数量；同一单位工程中采用不同桩型或不同地基处理方法的，宜分别确定检测方法和抽检数量。</w:t>
      </w:r>
    </w:p>
    <w:p>
      <w:pPr>
        <w:ind w:firstLine="480"/>
      </w:pPr>
      <w:r>
        <w:t>小区工程中，地基设计等级为丙级，且各单位工程的工程桩总数少于30根或地基处理面积小于300</w:t>
      </w:r>
      <w:r>
        <w:rPr>
          <w:rFonts w:hint="eastAsia"/>
        </w:rPr>
        <w:t xml:space="preserve"> </w:t>
      </w:r>
      <w:r>
        <w:t>m</w:t>
      </w:r>
      <w:r>
        <w:rPr>
          <w:vertAlign w:val="superscript"/>
        </w:rPr>
        <w:t>2</w:t>
      </w:r>
      <w:r>
        <w:t>，经工程质量各方责任主体共同确认，可将地质条件相近、施工工艺相同的若干个单位工程合并起来确定抽检数量，但应对每单位工程进行承载力抽检，承载力检测抽检数量：当采用单桩静载试验时不得少于3根、当采用高应变法时不得少于5根、当采用平板载荷试验时不得少于3点。对地基处理面积超过20000</w:t>
      </w:r>
      <w:r>
        <w:rPr>
          <w:rFonts w:hint="eastAsia"/>
        </w:rPr>
        <w:t xml:space="preserve"> </w:t>
      </w:r>
      <w:r>
        <w:t>m</w:t>
      </w:r>
      <w:r>
        <w:rPr>
          <w:vertAlign w:val="superscript"/>
        </w:rPr>
        <w:t>2</w:t>
      </w:r>
      <w:r>
        <w:t>或工程桩总数超过2000根的大型单位工程，超过部分的抽检数量可适当减少，但不应少于相应规定检测数量的50%。对补桩、加固处理后的桩应进行抽检。</w:t>
      </w:r>
    </w:p>
    <w:p>
      <w:pPr>
        <w:ind w:firstLine="0" w:firstLineChars="0"/>
      </w:pPr>
      <w:r>
        <w:rPr>
          <w:rFonts w:hint="eastAsia"/>
        </w:rPr>
        <w:t>8</w:t>
      </w:r>
      <w:r>
        <w:t>.1.</w:t>
      </w:r>
      <w:r>
        <w:rPr>
          <w:rFonts w:hint="eastAsia"/>
        </w:rPr>
        <w:t>6</w:t>
      </w:r>
      <w:r>
        <w:t xml:space="preserve"> </w:t>
      </w:r>
      <w:r>
        <w:tab/>
      </w:r>
      <w:r>
        <w:rPr>
          <w:rFonts w:hint="eastAsia"/>
        </w:rPr>
        <w:t xml:space="preserve"> </w:t>
      </w:r>
      <w:r>
        <w:t>当发现检测数据异常或对检测结果有怀疑时，应查找原因，必要时应重新检测。低应变法、高应变法可在原受检桩上重新进行检测。</w:t>
      </w:r>
    </w:p>
    <w:p>
      <w:pPr>
        <w:ind w:firstLine="0" w:firstLineChars="0"/>
      </w:pPr>
      <w:r>
        <w:rPr>
          <w:rFonts w:hint="eastAsia"/>
        </w:rPr>
        <w:t>8</w:t>
      </w:r>
      <w:r>
        <w:t>.1.</w:t>
      </w:r>
      <w:r>
        <w:rPr>
          <w:rFonts w:hint="eastAsia"/>
        </w:rPr>
        <w:t>7</w:t>
      </w:r>
      <w:r>
        <w:t xml:space="preserve"> </w:t>
      </w:r>
      <w:r>
        <w:rPr>
          <w:rFonts w:hint="eastAsia"/>
        </w:rPr>
        <w:t xml:space="preserve"> </w:t>
      </w:r>
      <w:r>
        <w:tab/>
      </w:r>
      <w:r>
        <w:t>检测用计量器具应进行校准。仪器设备性能应符合相应检测方法的技术要求。</w:t>
      </w:r>
    </w:p>
    <w:p>
      <w:pPr>
        <w:ind w:firstLine="480"/>
      </w:pPr>
      <w:r>
        <w:t>仪器设备使用时应按校准结果设置相关参数。检测前应对仪器设备检查调试，检测过程中应加强仪器设备检查，必要时在检测前和检测过程中应对仪器进行校准或率定。</w:t>
      </w:r>
    </w:p>
    <w:p>
      <w:pPr>
        <w:ind w:firstLine="0" w:firstLineChars="0"/>
      </w:pPr>
      <w:r>
        <w:rPr>
          <w:rFonts w:hint="eastAsia"/>
        </w:rPr>
        <w:t>8</w:t>
      </w:r>
      <w:r>
        <w:t>.1.</w:t>
      </w:r>
      <w:r>
        <w:rPr>
          <w:rFonts w:hint="eastAsia"/>
        </w:rPr>
        <w:t xml:space="preserve">8 </w:t>
      </w:r>
      <w:r>
        <w:t xml:space="preserve"> 现场检测期间，除应执行本规范的有关规定外，还应遵守国家有关安全生产的规定；当现场操作环境不符合仪器设备使用要求时，应采取有效的措施，保证仪器设备的正常工作。</w:t>
      </w:r>
    </w:p>
    <w:p>
      <w:pPr>
        <w:pStyle w:val="3"/>
      </w:pPr>
      <w:bookmarkStart w:id="184" w:name="_Toc213690082"/>
      <w:bookmarkStart w:id="185" w:name="_Toc213271657"/>
      <w:bookmarkStart w:id="186" w:name="_Toc212480173"/>
      <w:bookmarkStart w:id="187" w:name="_Toc213257667"/>
      <w:bookmarkStart w:id="188" w:name="_Toc213663151"/>
      <w:bookmarkStart w:id="189" w:name="_Toc213662957"/>
      <w:bookmarkStart w:id="190" w:name="_Toc213773553"/>
      <w:r>
        <w:rPr>
          <w:rFonts w:hint="eastAsia"/>
        </w:rPr>
        <w:t xml:space="preserve">8.2  </w:t>
      </w:r>
      <w:r>
        <w:t>复合地基检测</w:t>
      </w:r>
      <w:bookmarkEnd w:id="184"/>
      <w:bookmarkEnd w:id="185"/>
      <w:bookmarkEnd w:id="186"/>
      <w:bookmarkEnd w:id="187"/>
      <w:bookmarkEnd w:id="188"/>
      <w:bookmarkEnd w:id="189"/>
      <w:bookmarkEnd w:id="190"/>
    </w:p>
    <w:p>
      <w:pPr>
        <w:ind w:firstLine="0" w:firstLineChars="0"/>
      </w:pPr>
      <w:r>
        <w:rPr>
          <w:rFonts w:hint="eastAsia"/>
        </w:rPr>
        <w:t>8</w:t>
      </w:r>
      <w:r>
        <w:t xml:space="preserve">.2.1 </w:t>
      </w:r>
      <w:r>
        <w:rPr>
          <w:rFonts w:hint="eastAsia"/>
        </w:rPr>
        <w:t xml:space="preserve"> </w:t>
      </w:r>
      <w:r>
        <w:tab/>
      </w:r>
      <w:r>
        <w:t>复合地基检测应选择两种或两种以上的检测方法，并应符合先简后繁、先粗后细、</w:t>
      </w:r>
      <w:r>
        <w:rPr>
          <w:rFonts w:hint="eastAsia"/>
        </w:rPr>
        <w:t>逐渐加深</w:t>
      </w:r>
      <w:r>
        <w:t>的</w:t>
      </w:r>
      <w:r>
        <w:rPr>
          <w:rFonts w:hint="eastAsia"/>
        </w:rPr>
        <w:t>检测</w:t>
      </w:r>
      <w:r>
        <w:t>原则。</w:t>
      </w:r>
    </w:p>
    <w:p>
      <w:pPr>
        <w:ind w:firstLine="0" w:firstLineChars="0"/>
      </w:pPr>
      <w:r>
        <w:rPr>
          <w:rFonts w:hint="eastAsia"/>
        </w:rPr>
        <w:t>8</w:t>
      </w:r>
      <w:r>
        <w:t xml:space="preserve">.2.2 </w:t>
      </w:r>
      <w:r>
        <w:rPr>
          <w:rFonts w:hint="eastAsia"/>
        </w:rPr>
        <w:t xml:space="preserve"> </w:t>
      </w:r>
      <w:r>
        <w:t>复合地基检测宜在合理间歇时间后进行。</w:t>
      </w:r>
    </w:p>
    <w:p>
      <w:pPr>
        <w:ind w:firstLine="0" w:firstLineChars="0"/>
      </w:pPr>
      <w:r>
        <w:rPr>
          <w:rFonts w:hint="eastAsia"/>
        </w:rPr>
        <w:t>8</w:t>
      </w:r>
      <w:r>
        <w:t>.2.3</w:t>
      </w:r>
      <w:r>
        <w:rPr>
          <w:rFonts w:hint="eastAsia"/>
        </w:rPr>
        <w:t xml:space="preserve">  </w:t>
      </w:r>
      <w:r>
        <w:t>复合地基检测抽检位置应按下列情况综合确定：</w:t>
      </w:r>
    </w:p>
    <w:p>
      <w:pPr>
        <w:ind w:firstLine="480"/>
      </w:pPr>
      <w:r>
        <w:rPr>
          <w:rFonts w:hint="eastAsia"/>
        </w:rPr>
        <w:t xml:space="preserve">1  </w:t>
      </w:r>
      <w:r>
        <w:t>施工出现异常情况的部位；</w:t>
      </w:r>
    </w:p>
    <w:p>
      <w:pPr>
        <w:ind w:firstLine="480"/>
      </w:pPr>
      <w:r>
        <w:rPr>
          <w:rFonts w:hint="eastAsia"/>
        </w:rPr>
        <w:t xml:space="preserve">2  </w:t>
      </w:r>
      <w:r>
        <w:t>设计认为重要的部位；</w:t>
      </w:r>
    </w:p>
    <w:p>
      <w:pPr>
        <w:ind w:firstLine="480"/>
      </w:pPr>
      <w:r>
        <w:rPr>
          <w:rFonts w:hint="eastAsia"/>
        </w:rPr>
        <w:t xml:space="preserve">3  </w:t>
      </w:r>
      <w:r>
        <w:t>局部岩土特性复杂可能影响施工质量的部位；</w:t>
      </w:r>
    </w:p>
    <w:p>
      <w:pPr>
        <w:ind w:firstLine="480"/>
      </w:pPr>
      <w:r>
        <w:rPr>
          <w:rFonts w:hint="eastAsia"/>
        </w:rPr>
        <w:t xml:space="preserve">4  </w:t>
      </w:r>
      <w:r>
        <w:t>当采取两种或两种以上检测方法时，应根据前一种方法的检测结果确定 后一种方法的抽检位置；</w:t>
      </w:r>
    </w:p>
    <w:p>
      <w:pPr>
        <w:ind w:firstLine="480"/>
      </w:pPr>
      <w:r>
        <w:rPr>
          <w:rFonts w:hint="eastAsia"/>
        </w:rPr>
        <w:t xml:space="preserve">5  </w:t>
      </w:r>
      <w:r>
        <w:t>同类地基的抽检位置宜均匀分布。</w:t>
      </w:r>
    </w:p>
    <w:p>
      <w:pPr>
        <w:ind w:firstLine="0" w:firstLineChars="0"/>
      </w:pPr>
      <w:r>
        <w:rPr>
          <w:rFonts w:hint="eastAsia"/>
        </w:rPr>
        <w:t>8</w:t>
      </w:r>
      <w:r>
        <w:t>.2.</w:t>
      </w:r>
      <w:r>
        <w:rPr>
          <w:rFonts w:hint="eastAsia"/>
        </w:rPr>
        <w:t xml:space="preserve">4 </w:t>
      </w:r>
      <w:r>
        <w:t xml:space="preserve"> </w:t>
      </w:r>
      <w:r>
        <w:tab/>
      </w:r>
      <w:r>
        <w:t>复合地基应进行复合地基平板载荷试验，单位工程抽检平板载荷试验点数量应为总桩数的0.5%~1%，且不得少于3点。同一单位工程复合地基平板载荷试验形式可选择多桩复合地基平板载荷试验或单桩复合地基平板载荷试验，也可一部分试验点选择多桩复合地基平板载荷试验而另一部分试验点选择单桩复合地基平板载荷试验。</w:t>
      </w:r>
    </w:p>
    <w:p>
      <w:pPr>
        <w:ind w:firstLine="0" w:firstLineChars="0"/>
      </w:pPr>
      <w:r>
        <w:rPr>
          <w:rFonts w:hint="eastAsia"/>
        </w:rPr>
        <w:t>8</w:t>
      </w:r>
      <w:r>
        <w:t>.2.</w:t>
      </w:r>
      <w:r>
        <w:rPr>
          <w:rFonts w:hint="eastAsia"/>
        </w:rPr>
        <w:t xml:space="preserve">5 </w:t>
      </w:r>
      <w:r>
        <w:t xml:space="preserve"> 复合地基在进行平板载荷试验前，应采用合适的检测方法对复合地基的桩体施工质量进行检测，抽检数量：当采用低应变方法时，单位工程抽检数量应为总桩数的10%，且不得少于10根；当采用单桩竖向抗压载荷试验、钻芯法时，抽检数量不应少于总桩数的0.5%，且不得少于3根。检测方法和抽检数量还应符合下列规定：</w:t>
      </w:r>
    </w:p>
    <w:p>
      <w:pPr>
        <w:ind w:firstLine="480"/>
      </w:pPr>
      <w:r>
        <w:rPr>
          <w:rFonts w:hint="eastAsia"/>
        </w:rPr>
        <w:t xml:space="preserve">1  </w:t>
      </w:r>
      <w:r>
        <w:t>应进行单桩竖向抗压载荷试验，有可靠的检测经验时也可采用高应变法进行检测</w:t>
      </w:r>
      <w:r>
        <w:rPr>
          <w:rFonts w:hint="eastAsia"/>
        </w:rPr>
        <w:t>，抽检数量不小于5%并不小于5根</w:t>
      </w:r>
      <w:r>
        <w:t>。</w:t>
      </w:r>
    </w:p>
    <w:p>
      <w:pPr>
        <w:ind w:firstLine="480"/>
      </w:pPr>
      <w:r>
        <w:rPr>
          <w:rFonts w:hint="eastAsia"/>
        </w:rPr>
        <w:t>2  基桩</w:t>
      </w:r>
      <w:r>
        <w:t>的施工质量或缺陷的验证应采用钻芯法进行检测。</w:t>
      </w:r>
    </w:p>
    <w:p>
      <w:pPr>
        <w:ind w:firstLine="480"/>
      </w:pPr>
      <w:r>
        <w:rPr>
          <w:rFonts w:hint="eastAsia"/>
        </w:rPr>
        <w:t xml:space="preserve">3  </w:t>
      </w:r>
      <w:r>
        <w:t>应采用低应变法或高应变法进行桩身完整性检测，抽检数量不应少于总桩数的10%。</w:t>
      </w:r>
    </w:p>
    <w:p>
      <w:pPr>
        <w:ind w:firstLine="0" w:firstLineChars="0"/>
      </w:pPr>
      <w:r>
        <w:rPr>
          <w:rFonts w:hint="eastAsia"/>
        </w:rPr>
        <w:t>8</w:t>
      </w:r>
      <w:r>
        <w:t>.2.</w:t>
      </w:r>
      <w:r>
        <w:rPr>
          <w:rFonts w:hint="eastAsia"/>
        </w:rPr>
        <w:t xml:space="preserve">6 </w:t>
      </w:r>
      <w:r>
        <w:t xml:space="preserve"> </w:t>
      </w:r>
      <w:r>
        <w:tab/>
      </w:r>
      <w:r>
        <w:t>当设计有要求时，应对复合地基桩间土进行抽检，检测方法和抽检数量宜参照现行有关规范的规定。</w:t>
      </w:r>
    </w:p>
    <w:p>
      <w:pPr>
        <w:pStyle w:val="3"/>
      </w:pPr>
      <w:bookmarkStart w:id="191" w:name="_Toc213690083"/>
      <w:bookmarkStart w:id="192" w:name="_Toc212480174"/>
      <w:bookmarkStart w:id="193" w:name="_Toc213257668"/>
      <w:bookmarkStart w:id="194" w:name="_Toc213271658"/>
      <w:bookmarkStart w:id="195" w:name="_Toc213773554"/>
      <w:bookmarkStart w:id="196" w:name="_Toc213662958"/>
      <w:bookmarkStart w:id="197" w:name="_Toc213663152"/>
      <w:r>
        <w:rPr>
          <w:rFonts w:hint="eastAsia"/>
        </w:rPr>
        <w:t>8.3  钢渣混凝土桩</w:t>
      </w:r>
      <w:r>
        <w:t>检测</w:t>
      </w:r>
      <w:bookmarkEnd w:id="191"/>
      <w:bookmarkEnd w:id="192"/>
      <w:bookmarkEnd w:id="193"/>
      <w:bookmarkEnd w:id="194"/>
      <w:bookmarkEnd w:id="195"/>
      <w:bookmarkEnd w:id="196"/>
      <w:bookmarkEnd w:id="197"/>
    </w:p>
    <w:p>
      <w:pPr>
        <w:ind w:firstLine="0" w:firstLineChars="0"/>
      </w:pPr>
      <w:r>
        <w:rPr>
          <w:rFonts w:hint="eastAsia"/>
        </w:rPr>
        <w:t>8</w:t>
      </w:r>
      <w:r>
        <w:t>.3.1</w:t>
      </w:r>
      <w:r>
        <w:rPr>
          <w:rFonts w:hint="eastAsia"/>
        </w:rPr>
        <w:t xml:space="preserve"> </w:t>
      </w:r>
      <w:r>
        <w:t xml:space="preserve"> </w:t>
      </w:r>
      <w:r>
        <w:tab/>
      </w:r>
      <w:r>
        <w:t>工程桩验收应进行桩身完整性检测和单桩承载力检测。宜先进行桩身完整性检测，后进行承载力检测；当基础埋深较大时，桩身完整性检测宜在基坑开挖至基底标高后进行。</w:t>
      </w:r>
    </w:p>
    <w:p>
      <w:pPr>
        <w:ind w:firstLine="0" w:firstLineChars="0"/>
      </w:pPr>
      <w:r>
        <w:rPr>
          <w:rFonts w:hint="eastAsia"/>
        </w:rPr>
        <w:t>8</w:t>
      </w:r>
      <w:r>
        <w:t xml:space="preserve">.3.2 </w:t>
      </w:r>
      <w:r>
        <w:tab/>
      </w:r>
      <w:r>
        <w:rPr>
          <w:rFonts w:hint="eastAsia"/>
        </w:rPr>
        <w:t xml:space="preserve"> </w:t>
      </w:r>
      <w:r>
        <w:t>从成桩到开始试验的间歇时间应符合下列规定：</w:t>
      </w:r>
    </w:p>
    <w:p>
      <w:pPr>
        <w:ind w:firstLine="480"/>
      </w:pPr>
      <w:r>
        <w:rPr>
          <w:rFonts w:hint="eastAsia"/>
        </w:rPr>
        <w:t xml:space="preserve">1  </w:t>
      </w:r>
      <w:r>
        <w:t>当采用低应变法检测时，受检桩桩身混凝土强度不得低于设计强度等级的70%或预留立方体试块强度不得小于15</w:t>
      </w:r>
      <w:r>
        <w:rPr>
          <w:rFonts w:hint="eastAsia"/>
        </w:rPr>
        <w:t xml:space="preserve"> </w:t>
      </w:r>
      <w:r>
        <w:t>MPa。</w:t>
      </w:r>
    </w:p>
    <w:p>
      <w:pPr>
        <w:ind w:firstLine="480"/>
      </w:pPr>
      <w:r>
        <w:rPr>
          <w:rFonts w:hint="eastAsia"/>
        </w:rPr>
        <w:t xml:space="preserve">2  </w:t>
      </w:r>
      <w:r>
        <w:t>当采用钻芯法检测时，受检桩的混凝土龄期不得小于28</w:t>
      </w:r>
      <w:r>
        <w:rPr>
          <w:rFonts w:hint="eastAsia"/>
        </w:rPr>
        <w:t xml:space="preserve"> </w:t>
      </w:r>
      <w:r>
        <w:t>d或预留立方体试块强度不得低于设计强度等级。</w:t>
      </w:r>
    </w:p>
    <w:p>
      <w:pPr>
        <w:ind w:firstLine="480"/>
      </w:pPr>
      <w:r>
        <w:rPr>
          <w:rFonts w:hint="eastAsia"/>
        </w:rPr>
        <w:t xml:space="preserve">3  </w:t>
      </w:r>
      <w:r>
        <w:t>高应变法和静载试验的间歇时间：</w:t>
      </w:r>
      <w:r>
        <w:rPr>
          <w:strike/>
        </w:rPr>
        <w:t>灌注</w:t>
      </w:r>
      <w:r>
        <w:t>桩的混凝土龄期不得小于28</w:t>
      </w:r>
      <w:r>
        <w:rPr>
          <w:rFonts w:hint="eastAsia"/>
        </w:rPr>
        <w:t xml:space="preserve"> </w:t>
      </w:r>
      <w:r>
        <w:t>d。</w:t>
      </w:r>
      <w:r>
        <w:rPr>
          <w:rFonts w:hint="eastAsia"/>
        </w:rPr>
        <w:t>或预留同条件试块强度达到设计要求</w:t>
      </w:r>
      <w:r>
        <w:t>且满足如下养护龄期，即在施工成桩后，对于砂土，不宜少于7</w:t>
      </w:r>
      <w:r>
        <w:rPr>
          <w:rFonts w:hint="eastAsia"/>
        </w:rPr>
        <w:t xml:space="preserve"> </w:t>
      </w:r>
      <w:r>
        <w:t>d；对于粉土，不宜少于10</w:t>
      </w:r>
      <w:r>
        <w:rPr>
          <w:rFonts w:hint="eastAsia"/>
        </w:rPr>
        <w:t xml:space="preserve"> </w:t>
      </w:r>
      <w:r>
        <w:t>d；对于非饱和</w:t>
      </w:r>
      <w:r>
        <w:rPr>
          <w:rFonts w:hint="eastAsia"/>
        </w:rPr>
        <w:t>黏性</w:t>
      </w:r>
      <w:r>
        <w:t>土，不宜少于15</w:t>
      </w:r>
      <w:r>
        <w:rPr>
          <w:rFonts w:hint="eastAsia"/>
        </w:rPr>
        <w:t xml:space="preserve"> </w:t>
      </w:r>
      <w:r>
        <w:t>d；对于饱和</w:t>
      </w:r>
      <w:r>
        <w:rPr>
          <w:rFonts w:hint="eastAsia"/>
        </w:rPr>
        <w:t>黏性</w:t>
      </w:r>
      <w:r>
        <w:t>土，不宜少于25</w:t>
      </w:r>
      <w:r>
        <w:rPr>
          <w:rFonts w:hint="eastAsia"/>
        </w:rPr>
        <w:t xml:space="preserve"> </w:t>
      </w:r>
      <w:r>
        <w:t>d；对于桩端持力层为遇水易软化的风化岩层，不应少于25</w:t>
      </w:r>
      <w:r>
        <w:rPr>
          <w:rFonts w:hint="eastAsia"/>
        </w:rPr>
        <w:t xml:space="preserve"> </w:t>
      </w:r>
      <w:r>
        <w:t>d。</w:t>
      </w:r>
    </w:p>
    <w:p>
      <w:pPr>
        <w:ind w:firstLine="0" w:firstLineChars="0"/>
      </w:pPr>
      <w:r>
        <w:rPr>
          <w:rFonts w:hint="eastAsia"/>
        </w:rPr>
        <w:t>8</w:t>
      </w:r>
      <w:r>
        <w:t>.3.3</w:t>
      </w:r>
      <w:r>
        <w:rPr>
          <w:rFonts w:hint="eastAsia"/>
        </w:rPr>
        <w:t xml:space="preserve"> </w:t>
      </w:r>
      <w:r>
        <w:t xml:space="preserve"> </w:t>
      </w:r>
      <w:r>
        <w:tab/>
      </w:r>
      <w:r>
        <w:t>桩身完整性和单桩承载力抽样检测的受检桩宜按下列情况综合确定：</w:t>
      </w:r>
    </w:p>
    <w:p>
      <w:pPr>
        <w:ind w:firstLine="480"/>
      </w:pPr>
      <w:r>
        <w:rPr>
          <w:rFonts w:hint="eastAsia"/>
        </w:rPr>
        <w:t xml:space="preserve">1  </w:t>
      </w:r>
      <w:r>
        <w:t>施工质量有疑问的桩；</w:t>
      </w:r>
    </w:p>
    <w:p>
      <w:pPr>
        <w:ind w:firstLine="480"/>
      </w:pPr>
      <w:r>
        <w:rPr>
          <w:rFonts w:hint="eastAsia"/>
        </w:rPr>
        <w:t xml:space="preserve">2  </w:t>
      </w:r>
      <w:r>
        <w:t>设计认为重要的桩；</w:t>
      </w:r>
    </w:p>
    <w:p>
      <w:pPr>
        <w:ind w:firstLine="480"/>
      </w:pPr>
      <w:r>
        <w:rPr>
          <w:rFonts w:hint="eastAsia"/>
        </w:rPr>
        <w:t xml:space="preserve">3  </w:t>
      </w:r>
      <w:r>
        <w:t>局部地质条件出现异常的桩；</w:t>
      </w:r>
    </w:p>
    <w:p>
      <w:pPr>
        <w:ind w:firstLine="480"/>
      </w:pPr>
      <w:r>
        <w:rPr>
          <w:rFonts w:hint="eastAsia"/>
        </w:rPr>
        <w:t xml:space="preserve">4  </w:t>
      </w:r>
      <w:r>
        <w:t>当采用两种或两种以上检测方法时，宜根据前一种检测方法的检测结果 来确定后一种检测方法的受检桩；</w:t>
      </w:r>
    </w:p>
    <w:p>
      <w:pPr>
        <w:ind w:firstLine="480"/>
      </w:pPr>
      <w:r>
        <w:rPr>
          <w:rFonts w:hint="eastAsia"/>
        </w:rPr>
        <w:t xml:space="preserve">5  </w:t>
      </w:r>
      <w:r>
        <w:t>同类型桩宜均匀分布。</w:t>
      </w:r>
    </w:p>
    <w:p>
      <w:pPr>
        <w:pStyle w:val="3"/>
      </w:pPr>
      <w:bookmarkStart w:id="198" w:name="_Toc213257669"/>
      <w:bookmarkStart w:id="199" w:name="_Toc213271659"/>
      <w:bookmarkStart w:id="200" w:name="_Toc213662959"/>
      <w:bookmarkStart w:id="201" w:name="_Toc213690084"/>
      <w:bookmarkStart w:id="202" w:name="_Toc213663153"/>
      <w:bookmarkStart w:id="203" w:name="_Toc212480175"/>
      <w:bookmarkStart w:id="204" w:name="_Toc213773555"/>
      <w:r>
        <w:rPr>
          <w:rFonts w:hint="eastAsia"/>
        </w:rPr>
        <w:t>8.4  验证与扩大检测</w:t>
      </w:r>
      <w:bookmarkEnd w:id="198"/>
      <w:bookmarkEnd w:id="199"/>
      <w:bookmarkEnd w:id="200"/>
      <w:bookmarkEnd w:id="201"/>
      <w:bookmarkEnd w:id="202"/>
      <w:bookmarkEnd w:id="203"/>
      <w:bookmarkEnd w:id="204"/>
    </w:p>
    <w:p>
      <w:pPr>
        <w:ind w:firstLine="0" w:firstLineChars="0"/>
      </w:pPr>
      <w:r>
        <w:rPr>
          <w:rFonts w:hint="eastAsia"/>
        </w:rPr>
        <w:t>8</w:t>
      </w:r>
      <w:r>
        <w:t xml:space="preserve">.4.1  </w:t>
      </w:r>
      <w:r>
        <w:rPr>
          <w:rFonts w:hint="eastAsia"/>
        </w:rPr>
        <w:t>当对检测结果有异议时，应在原试验点附近重新选点进行试验或在原受检桩上进行验证检测，验证检测的抽检数量宜根据实际情况确定。验证检测应符合下列规定：</w:t>
      </w:r>
    </w:p>
    <w:p>
      <w:pPr>
        <w:ind w:firstLine="480"/>
      </w:pPr>
      <w:r>
        <w:rPr>
          <w:rFonts w:hint="eastAsia"/>
        </w:rPr>
        <w:t>1  可根据平板载荷试验结果，分析评价地基承载力检测结果。</w:t>
      </w:r>
    </w:p>
    <w:p>
      <w:pPr>
        <w:ind w:firstLine="480"/>
      </w:pPr>
      <w:r>
        <w:rPr>
          <w:rFonts w:hint="eastAsia"/>
        </w:rPr>
        <w:t>2  桩身浅部缺陷可采用开挖验证。</w:t>
      </w:r>
    </w:p>
    <w:p>
      <w:pPr>
        <w:ind w:firstLine="480"/>
      </w:pPr>
      <w:r>
        <w:rPr>
          <w:rFonts w:hint="eastAsia"/>
        </w:rPr>
        <w:t xml:space="preserve">3  </w:t>
      </w:r>
      <w:r>
        <w:t>桩身存在缺陷</w:t>
      </w:r>
      <w:r>
        <w:rPr>
          <w:rFonts w:hint="eastAsia"/>
        </w:rPr>
        <w:t>有可能影响到</w:t>
      </w:r>
      <w:r>
        <w:t>桩</w:t>
      </w:r>
      <w:r>
        <w:rPr>
          <w:rFonts w:hint="eastAsia"/>
        </w:rPr>
        <w:t>的承载力时</w:t>
      </w:r>
      <w:r>
        <w:t>可采用</w:t>
      </w:r>
      <w:r>
        <w:rPr>
          <w:rFonts w:hint="eastAsia"/>
        </w:rPr>
        <w:t>静载试验</w:t>
      </w:r>
      <w:r>
        <w:t>进行验证</w:t>
      </w:r>
      <w:r>
        <w:rPr>
          <w:rFonts w:hint="eastAsia"/>
        </w:rPr>
        <w:t>。</w:t>
      </w:r>
    </w:p>
    <w:p>
      <w:pPr>
        <w:ind w:firstLine="480"/>
      </w:pPr>
      <w:r>
        <w:rPr>
          <w:rFonts w:hint="eastAsia"/>
        </w:rPr>
        <w:t>4  可采用钻芯法、高应变法验证低应变法检测结果。</w:t>
      </w:r>
    </w:p>
    <w:p>
      <w:pPr>
        <w:ind w:firstLine="480"/>
      </w:pPr>
      <w:r>
        <w:rPr>
          <w:rFonts w:hint="eastAsia"/>
        </w:rPr>
        <w:t>5  可采用单桩竖向抗压静载试验验证高应变法单桩承载力检测结果。</w:t>
      </w:r>
    </w:p>
    <w:p>
      <w:pPr>
        <w:ind w:firstLine="0" w:firstLineChars="0"/>
      </w:pPr>
      <w:r>
        <w:rPr>
          <w:rFonts w:hint="eastAsia"/>
        </w:rPr>
        <w:t>8</w:t>
      </w:r>
      <w:r>
        <w:t xml:space="preserve">.4.2  </w:t>
      </w:r>
      <w:r>
        <w:rPr>
          <w:rFonts w:hint="eastAsia"/>
        </w:rPr>
        <w:t>当检测结果不满足设计要求时，应进行扩大抽检。扩大抽检应采用原抽检用的检测方法或准确度更高的检测方法。扩大抽检的数量宜按不满足设计要求的桩数加倍扩大抽检：</w:t>
      </w:r>
    </w:p>
    <w:p>
      <w:pPr>
        <w:ind w:firstLine="480"/>
      </w:pPr>
      <w:r>
        <w:rPr>
          <w:rFonts w:hint="eastAsia"/>
        </w:rPr>
        <w:t>1  当平板载荷试验、单桩承载力检测或钻芯法抽检结果不满足设计要求时，应按不满足设计要求的数量加倍扩大抽检。</w:t>
      </w:r>
    </w:p>
    <w:p>
      <w:pPr>
        <w:ind w:firstLine="480"/>
      </w:pPr>
      <w:r>
        <w:rPr>
          <w:rFonts w:hint="eastAsia"/>
        </w:rPr>
        <w:t>2  当采用低应变法抽检桩身完整性所发现的Ⅲ、Ⅳ类桩之和大于抽检桩数的</w:t>
      </w:r>
      <w:r>
        <w:t>20%</w:t>
      </w:r>
      <w:r>
        <w:rPr>
          <w:rFonts w:hint="eastAsia"/>
        </w:rPr>
        <w:t>时，应按原抽检比例扩大抽检，当两次抽检的Ⅲ、Ⅳ类桩之和仍大于抽检桩数的</w:t>
      </w:r>
      <w:r>
        <w:t>20%</w:t>
      </w:r>
      <w:r>
        <w:rPr>
          <w:rFonts w:hint="eastAsia"/>
        </w:rPr>
        <w:t>时，该批桩应全数检测。当Ⅲ、Ⅳ类桩之和不大于抽检桩数的</w:t>
      </w:r>
      <w:r>
        <w:t>20%</w:t>
      </w:r>
      <w:r>
        <w:rPr>
          <w:rFonts w:hint="eastAsia"/>
        </w:rPr>
        <w:t>时，应研究确定处理方案或扩大抽检的方法和数量。</w:t>
      </w:r>
    </w:p>
    <w:p>
      <w:pPr>
        <w:ind w:firstLine="480"/>
      </w:pPr>
      <w:r>
        <w:rPr>
          <w:rFonts w:hint="eastAsia"/>
        </w:rPr>
        <w:t>3  当采用高应变法抽检桩身完整性所发现的Ⅲ、Ⅳ类桩之和大于抽检桩数的</w:t>
      </w:r>
      <w:r>
        <w:t>20%</w:t>
      </w:r>
      <w:r>
        <w:rPr>
          <w:rFonts w:hint="eastAsia"/>
        </w:rPr>
        <w:t>时，应按原抽检比例扩大抽检。当Ⅲ、Ⅳ类桩之和不大于抽检桩数的</w:t>
      </w:r>
      <w:r>
        <w:t>20%</w:t>
      </w:r>
      <w:r>
        <w:rPr>
          <w:rFonts w:hint="eastAsia"/>
        </w:rPr>
        <w:t>时，应研究确定处理方案或扩大抽检的方法和数量。</w:t>
      </w:r>
    </w:p>
    <w:p>
      <w:pPr>
        <w:ind w:firstLine="480"/>
      </w:pPr>
      <w:r>
        <w:rPr>
          <w:rFonts w:hint="eastAsia"/>
        </w:rPr>
        <w:t>4  当桩的混凝土强度检测结果不满足设计要求时，应按不满足设计要求的数量加倍扩大抽检。检测方法宜采用钻芯法。</w:t>
      </w:r>
    </w:p>
    <w:p>
      <w:pPr>
        <w:ind w:firstLine="0" w:firstLineChars="0"/>
      </w:pPr>
      <w:r>
        <w:rPr>
          <w:rFonts w:hint="eastAsia"/>
        </w:rPr>
        <w:t>8</w:t>
      </w:r>
      <w:r>
        <w:t xml:space="preserve">.4.3  </w:t>
      </w:r>
      <w:r>
        <w:rPr>
          <w:rFonts w:hint="eastAsia"/>
        </w:rPr>
        <w:t>验证检测和首次扩大抽检后，应根据检测结果，由监理单位或建设单位会同检测、勘察、设计、施工单位共同研究确定处理方案或进一步抽检的方法和数量。当对检测结果有怀疑或有争议但又不具备重新检测和验证检测条件时，应由监理单位或建设单位会同检测、勘察、设计、施工单位共同研究确定处理方案。</w:t>
      </w:r>
    </w:p>
    <w:p>
      <w:pPr>
        <w:pStyle w:val="3"/>
        <w:rPr>
          <w:lang w:bidi="ar"/>
        </w:rPr>
      </w:pPr>
      <w:bookmarkStart w:id="205" w:name="_Toc213663154"/>
      <w:bookmarkStart w:id="206" w:name="_Toc213271660"/>
      <w:bookmarkStart w:id="207" w:name="_Toc213773556"/>
      <w:bookmarkStart w:id="208" w:name="_Toc213690085"/>
      <w:bookmarkStart w:id="209" w:name="_Toc213662960"/>
      <w:bookmarkStart w:id="210" w:name="_Toc212480176"/>
      <w:bookmarkStart w:id="211" w:name="_Toc213257670"/>
      <w:r>
        <w:rPr>
          <w:rFonts w:hint="eastAsia"/>
          <w:lang w:bidi="ar"/>
        </w:rPr>
        <w:t>8.5  检测结果评价和检测报告</w:t>
      </w:r>
      <w:bookmarkEnd w:id="205"/>
      <w:bookmarkEnd w:id="206"/>
      <w:bookmarkEnd w:id="207"/>
      <w:bookmarkEnd w:id="208"/>
      <w:bookmarkEnd w:id="209"/>
      <w:bookmarkEnd w:id="210"/>
      <w:bookmarkEnd w:id="211"/>
    </w:p>
    <w:p>
      <w:pPr>
        <w:ind w:firstLine="0" w:firstLineChars="0"/>
      </w:pPr>
      <w:r>
        <w:rPr>
          <w:rFonts w:hint="eastAsia"/>
        </w:rPr>
        <w:t>8</w:t>
      </w:r>
      <w:r>
        <w:t xml:space="preserve">.5.1  </w:t>
      </w:r>
      <w:r>
        <w:rPr>
          <w:rFonts w:hint="eastAsia"/>
        </w:rPr>
        <w:t>平板载荷试验应给出每个点的承载力特征值和单位工程的地基承载力特征值，并给出单位工程的地基承载力特征值是否满足设计要求的结论。</w:t>
      </w:r>
    </w:p>
    <w:p>
      <w:pPr>
        <w:ind w:firstLine="0" w:firstLineChars="0"/>
      </w:pPr>
      <w:r>
        <w:rPr>
          <w:rFonts w:hint="eastAsia"/>
        </w:rPr>
        <w:t>8</w:t>
      </w:r>
      <w:r>
        <w:t xml:space="preserve">.5.2  </w:t>
      </w:r>
      <w:r>
        <w:tab/>
      </w:r>
      <w:r>
        <w:rPr>
          <w:rFonts w:hint="eastAsia"/>
        </w:rPr>
        <w:t>桩身完整性检测结果应给出每根受检桩的桩身完整性类别。桩身完整性分类应符合表8</w:t>
      </w:r>
      <w:r>
        <w:t>.5.2</w:t>
      </w:r>
      <w:r>
        <w:rPr>
          <w:rFonts w:hint="eastAsia"/>
        </w:rPr>
        <w:t>的规定。</w:t>
      </w:r>
    </w:p>
    <w:p>
      <w:pPr>
        <w:pStyle w:val="11"/>
      </w:pPr>
      <w:r>
        <w:t>表</w:t>
      </w:r>
      <w:r>
        <w:rPr>
          <w:rFonts w:hint="eastAsia"/>
        </w:rPr>
        <w:t>8</w:t>
      </w:r>
      <w:r>
        <w:t>.</w:t>
      </w:r>
      <w:r>
        <w:rPr>
          <w:rFonts w:hint="eastAsia"/>
        </w:rPr>
        <w:t>5</w:t>
      </w:r>
      <w:r>
        <w:t>.</w:t>
      </w:r>
      <w:r>
        <w:rPr>
          <w:rFonts w:hint="eastAsia"/>
        </w:rPr>
        <w:t>2</w:t>
      </w:r>
      <w:r>
        <w:tab/>
      </w:r>
      <w:r>
        <w:rPr>
          <w:rFonts w:hint="eastAsia"/>
        </w:rPr>
        <w:t xml:space="preserve">  </w:t>
      </w:r>
      <w:r>
        <w:t>桩身完整性分类表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5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7" w:type="dxa"/>
            <w:vAlign w:val="center"/>
          </w:tcPr>
          <w:p>
            <w:pPr>
              <w:pStyle w:val="49"/>
            </w:pPr>
            <w:r>
              <w:t>桩身完整性类别</w:t>
            </w:r>
          </w:p>
        </w:tc>
        <w:tc>
          <w:tcPr>
            <w:tcW w:w="5749" w:type="dxa"/>
            <w:vAlign w:val="center"/>
          </w:tcPr>
          <w:p>
            <w:pPr>
              <w:pStyle w:val="49"/>
            </w:pPr>
            <w:r>
              <w:t>分类原则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7" w:type="dxa"/>
            <w:vAlign w:val="center"/>
          </w:tcPr>
          <w:p>
            <w:pPr>
              <w:pStyle w:val="49"/>
            </w:pPr>
            <w:r>
              <w:t>Ⅰ类桩</w:t>
            </w:r>
          </w:p>
        </w:tc>
        <w:tc>
          <w:tcPr>
            <w:tcW w:w="5749" w:type="dxa"/>
            <w:vAlign w:val="center"/>
          </w:tcPr>
          <w:p>
            <w:pPr>
              <w:pStyle w:val="49"/>
            </w:pPr>
            <w:r>
              <w:t>桩身完整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7" w:type="dxa"/>
            <w:vAlign w:val="center"/>
          </w:tcPr>
          <w:p>
            <w:pPr>
              <w:pStyle w:val="49"/>
            </w:pPr>
            <w:r>
              <w:t>Ⅱ类桩</w:t>
            </w:r>
          </w:p>
        </w:tc>
        <w:tc>
          <w:tcPr>
            <w:tcW w:w="5749" w:type="dxa"/>
            <w:vAlign w:val="center"/>
          </w:tcPr>
          <w:p>
            <w:pPr>
              <w:pStyle w:val="49"/>
            </w:pPr>
            <w:r>
              <w:t>桩身有轻微缺陷，不会影响桩身结构承载力的正常发挥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547" w:type="dxa"/>
            <w:vAlign w:val="center"/>
          </w:tcPr>
          <w:p>
            <w:pPr>
              <w:pStyle w:val="49"/>
            </w:pPr>
            <w:r>
              <w:t>Ⅲ类桩</w:t>
            </w:r>
          </w:p>
        </w:tc>
        <w:tc>
          <w:tcPr>
            <w:tcW w:w="5749" w:type="dxa"/>
            <w:vAlign w:val="center"/>
          </w:tcPr>
          <w:p>
            <w:pPr>
              <w:pStyle w:val="49"/>
            </w:pPr>
            <w:r>
              <w:t>桩身有明显缺陷，对桩身结构承载力有影响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7" w:type="dxa"/>
            <w:vAlign w:val="center"/>
          </w:tcPr>
          <w:p>
            <w:pPr>
              <w:pStyle w:val="49"/>
            </w:pPr>
            <w:r>
              <w:t>Ⅳ类桩</w:t>
            </w:r>
          </w:p>
        </w:tc>
        <w:tc>
          <w:tcPr>
            <w:tcW w:w="5749" w:type="dxa"/>
            <w:vAlign w:val="center"/>
          </w:tcPr>
          <w:p>
            <w:pPr>
              <w:pStyle w:val="49"/>
            </w:pPr>
            <w:r>
              <w:t>桩身存在严重缺陷</w:t>
            </w:r>
          </w:p>
        </w:tc>
      </w:tr>
    </w:tbl>
    <w:p>
      <w:pPr>
        <w:spacing w:line="240" w:lineRule="auto"/>
        <w:ind w:left="900" w:leftChars="200" w:hanging="420" w:hangingChars="200"/>
        <w:jc w:val="left"/>
        <w:rPr>
          <w:rFonts w:cs="Times New Roman"/>
          <w:sz w:val="21"/>
        </w:rPr>
      </w:pPr>
      <w:r>
        <w:rPr>
          <w:rFonts w:cs="Times New Roman"/>
          <w:sz w:val="21"/>
        </w:rPr>
        <w:t>注：1</w:t>
      </w:r>
      <w:r>
        <w:rPr>
          <w:rFonts w:hint="eastAsia" w:cs="Times New Roman"/>
          <w:sz w:val="21"/>
        </w:rPr>
        <w:t>、对于</w:t>
      </w:r>
      <w:r>
        <w:rPr>
          <w:rFonts w:cs="Times New Roman"/>
          <w:sz w:val="21"/>
        </w:rPr>
        <w:t>Ⅲ</w:t>
      </w:r>
      <w:r>
        <w:rPr>
          <w:rFonts w:hint="eastAsia" w:cs="Times New Roman"/>
          <w:sz w:val="21"/>
        </w:rPr>
        <w:t>、</w:t>
      </w:r>
      <w:r>
        <w:rPr>
          <w:rFonts w:cs="Times New Roman"/>
          <w:sz w:val="21"/>
        </w:rPr>
        <w:t>Ⅳ类桩桩身缺陷对桩身结构承载力的影响程度</w:t>
      </w:r>
      <w:r>
        <w:rPr>
          <w:rFonts w:hint="eastAsia" w:cs="Times New Roman"/>
          <w:sz w:val="21"/>
        </w:rPr>
        <w:t>应通过静载试验确定。对于</w:t>
      </w:r>
      <w:r>
        <w:rPr>
          <w:rFonts w:cs="Times New Roman"/>
          <w:sz w:val="21"/>
        </w:rPr>
        <w:t>Ⅱ类桩</w:t>
      </w:r>
      <w:r>
        <w:rPr>
          <w:rFonts w:hint="eastAsia" w:cs="Times New Roman"/>
          <w:sz w:val="21"/>
        </w:rPr>
        <w:t>，缺陷埋深小于5d时，应开挖验证</w:t>
      </w:r>
      <w:r>
        <w:rPr>
          <w:rFonts w:cs="Times New Roman"/>
          <w:sz w:val="21"/>
        </w:rPr>
        <w:t>；</w:t>
      </w:r>
    </w:p>
    <w:p>
      <w:pPr>
        <w:spacing w:line="240" w:lineRule="auto"/>
        <w:ind w:left="900" w:leftChars="375" w:firstLine="0" w:firstLineChars="0"/>
        <w:jc w:val="left"/>
        <w:rPr>
          <w:rFonts w:cs="Times New Roman"/>
          <w:sz w:val="21"/>
        </w:rPr>
      </w:pPr>
      <w:r>
        <w:rPr>
          <w:rFonts w:cs="Times New Roman"/>
          <w:sz w:val="21"/>
        </w:rPr>
        <w:t>2</w:t>
      </w:r>
      <w:r>
        <w:rPr>
          <w:rFonts w:hint="eastAsia" w:cs="Times New Roman"/>
          <w:sz w:val="21"/>
        </w:rPr>
        <w:t>、</w:t>
      </w:r>
      <w:r>
        <w:rPr>
          <w:rFonts w:cs="Times New Roman"/>
          <w:sz w:val="21"/>
        </w:rPr>
        <w:t>Ⅳ类桩应进行工程处理。</w:t>
      </w:r>
    </w:p>
    <w:p>
      <w:pPr>
        <w:ind w:firstLine="0" w:firstLineChars="0"/>
      </w:pPr>
      <w:r>
        <w:rPr>
          <w:rFonts w:hint="eastAsia"/>
        </w:rPr>
        <w:t>8</w:t>
      </w:r>
      <w:r>
        <w:t>.</w:t>
      </w:r>
      <w:r>
        <w:rPr>
          <w:rFonts w:hint="eastAsia"/>
        </w:rPr>
        <w:t>5</w:t>
      </w:r>
      <w:r>
        <w:t>.</w:t>
      </w:r>
      <w:r>
        <w:rPr>
          <w:rFonts w:hint="eastAsia"/>
        </w:rPr>
        <w:t xml:space="preserve">3 </w:t>
      </w:r>
      <w:r>
        <w:t xml:space="preserve"> </w:t>
      </w:r>
      <w:r>
        <w:tab/>
      </w:r>
      <w:r>
        <w:t>桩</w:t>
      </w:r>
      <w:r>
        <w:rPr>
          <w:rFonts w:hint="eastAsia"/>
        </w:rPr>
        <w:t>的</w:t>
      </w:r>
      <w:r>
        <w:t>承载力检测结果应给出每根受检桩的承载力是否满足设计要求的结论。</w:t>
      </w:r>
    </w:p>
    <w:p>
      <w:pPr>
        <w:ind w:firstLine="0" w:firstLineChars="0"/>
      </w:pPr>
      <w:r>
        <w:rPr>
          <w:rFonts w:hint="eastAsia"/>
        </w:rPr>
        <w:t>8</w:t>
      </w:r>
      <w:r>
        <w:t>.</w:t>
      </w:r>
      <w:r>
        <w:rPr>
          <w:rFonts w:hint="eastAsia"/>
        </w:rPr>
        <w:t>5</w:t>
      </w:r>
      <w:r>
        <w:t>.</w:t>
      </w:r>
      <w:r>
        <w:rPr>
          <w:rFonts w:hint="eastAsia"/>
        </w:rPr>
        <w:t>4</w:t>
      </w:r>
      <w:r>
        <w:t xml:space="preserve"> </w:t>
      </w:r>
      <w:r>
        <w:rPr>
          <w:rFonts w:hint="eastAsia"/>
        </w:rPr>
        <w:t xml:space="preserve"> </w:t>
      </w:r>
      <w:r>
        <w:tab/>
      </w:r>
      <w:r>
        <w:t>受检桩检测后可能影响该桩的正常使用时，应在检测报告中予以说明。</w:t>
      </w:r>
    </w:p>
    <w:p>
      <w:pPr>
        <w:ind w:firstLine="0" w:firstLineChars="0"/>
      </w:pPr>
      <w:r>
        <w:rPr>
          <w:rFonts w:hint="eastAsia"/>
        </w:rPr>
        <w:t>8</w:t>
      </w:r>
      <w:r>
        <w:t>.</w:t>
      </w:r>
      <w:r>
        <w:rPr>
          <w:rFonts w:hint="eastAsia"/>
        </w:rPr>
        <w:t>5</w:t>
      </w:r>
      <w:r>
        <w:t>.</w:t>
      </w:r>
      <w:r>
        <w:rPr>
          <w:rFonts w:hint="eastAsia"/>
        </w:rPr>
        <w:t xml:space="preserve">5 </w:t>
      </w:r>
      <w:r>
        <w:t xml:space="preserve"> </w:t>
      </w:r>
      <w:r>
        <w:tab/>
      </w:r>
      <w:r>
        <w:t>检测报告应结论准确、用词规范，对容易混淆的术语和概念应以本规范为准。</w:t>
      </w:r>
    </w:p>
    <w:p>
      <w:pPr>
        <w:ind w:firstLine="0" w:firstLineChars="0"/>
      </w:pPr>
      <w:r>
        <w:rPr>
          <w:rFonts w:hint="eastAsia"/>
        </w:rPr>
        <w:t>8</w:t>
      </w:r>
      <w:r>
        <w:t>.</w:t>
      </w:r>
      <w:r>
        <w:rPr>
          <w:rFonts w:hint="eastAsia"/>
        </w:rPr>
        <w:t>5</w:t>
      </w:r>
      <w:r>
        <w:t>.</w:t>
      </w:r>
      <w:r>
        <w:rPr>
          <w:rFonts w:hint="eastAsia"/>
        </w:rPr>
        <w:t>6</w:t>
      </w:r>
      <w:r>
        <w:t xml:space="preserve"> </w:t>
      </w:r>
      <w:r>
        <w:rPr>
          <w:rFonts w:hint="eastAsia"/>
        </w:rPr>
        <w:t xml:space="preserve"> </w:t>
      </w:r>
      <w:r>
        <w:tab/>
      </w:r>
      <w:r>
        <w:t>检测报告应包含以下内容：</w:t>
      </w:r>
    </w:p>
    <w:p>
      <w:pPr>
        <w:ind w:firstLine="480"/>
      </w:pPr>
      <w:r>
        <w:rPr>
          <w:rFonts w:hint="eastAsia"/>
        </w:rPr>
        <w:t xml:space="preserve">1  </w:t>
      </w:r>
      <w:r>
        <w:t>委托方名称，工程名称、工程地点，建设、勘察、设计、监理和施工单位，基础类型，设计要求，检测目的，检测依据，检测数量，检测日期；</w:t>
      </w:r>
    </w:p>
    <w:p>
      <w:pPr>
        <w:ind w:firstLine="480"/>
      </w:pPr>
      <w:r>
        <w:rPr>
          <w:rFonts w:hint="eastAsia"/>
        </w:rPr>
        <w:t xml:space="preserve">2  </w:t>
      </w:r>
      <w:r>
        <w:t>主要岩土工程勘察资料；</w:t>
      </w:r>
    </w:p>
    <w:p>
      <w:pPr>
        <w:ind w:firstLine="480"/>
      </w:pPr>
      <w:r>
        <w:rPr>
          <w:rFonts w:hint="eastAsia"/>
        </w:rPr>
        <w:t xml:space="preserve">3  </w:t>
      </w:r>
      <w:r>
        <w:t>检测对象的编号、位置和相关施工</w:t>
      </w:r>
      <w:r>
        <w:rPr>
          <w:rFonts w:hint="eastAsia"/>
        </w:rPr>
        <w:t>情况</w:t>
      </w:r>
      <w:r>
        <w:t>；</w:t>
      </w:r>
    </w:p>
    <w:p>
      <w:pPr>
        <w:ind w:firstLine="480"/>
      </w:pPr>
      <w:r>
        <w:rPr>
          <w:rFonts w:hint="eastAsia"/>
        </w:rPr>
        <w:t xml:space="preserve">4  </w:t>
      </w:r>
      <w:r>
        <w:t>主要检测仪器设备</w:t>
      </w:r>
      <w:r>
        <w:rPr>
          <w:rFonts w:hint="eastAsia"/>
        </w:rPr>
        <w:t>和参与检测的人员配置</w:t>
      </w:r>
      <w:r>
        <w:t>；</w:t>
      </w:r>
    </w:p>
    <w:p>
      <w:pPr>
        <w:ind w:firstLine="480"/>
      </w:pPr>
      <w:r>
        <w:rPr>
          <w:rFonts w:hint="eastAsia"/>
        </w:rPr>
        <w:t xml:space="preserve">5  </w:t>
      </w:r>
      <w:r>
        <w:t>检测方法；</w:t>
      </w:r>
    </w:p>
    <w:p>
      <w:pPr>
        <w:ind w:firstLine="480"/>
      </w:pPr>
      <w:r>
        <w:rPr>
          <w:rFonts w:hint="eastAsia"/>
        </w:rPr>
        <w:t xml:space="preserve">6  </w:t>
      </w:r>
      <w:r>
        <w:t>实测与计算分析图表和检测数据汇总结果；</w:t>
      </w:r>
    </w:p>
    <w:p>
      <w:pPr>
        <w:ind w:firstLine="480"/>
      </w:pPr>
      <w:r>
        <w:rPr>
          <w:rFonts w:hint="eastAsia"/>
        </w:rPr>
        <w:t xml:space="preserve">7  </w:t>
      </w:r>
      <w:r>
        <w:t>检测过程中的异常情况描述（必要时）；</w:t>
      </w:r>
    </w:p>
    <w:p>
      <w:pPr>
        <w:ind w:firstLine="480"/>
      </w:pPr>
      <w:r>
        <w:rPr>
          <w:rFonts w:hint="eastAsia"/>
        </w:rPr>
        <w:t xml:space="preserve">8  </w:t>
      </w:r>
      <w:r>
        <w:t>检测结论。</w:t>
      </w:r>
    </w:p>
    <w:p>
      <w:pPr>
        <w:ind w:firstLine="480"/>
      </w:pPr>
    </w:p>
    <w:p>
      <w:pPr>
        <w:ind w:firstLine="480"/>
        <w:sectPr>
          <w:pgSz w:w="11906" w:h="16838"/>
          <w:pgMar w:top="1440" w:right="1800" w:bottom="1440" w:left="1800" w:header="851" w:footer="992" w:gutter="0"/>
          <w:cols w:space="425" w:num="1"/>
          <w:docGrid w:type="lines" w:linePitch="312" w:charSpace="0"/>
        </w:sectPr>
      </w:pPr>
    </w:p>
    <w:p>
      <w:pPr>
        <w:pStyle w:val="2"/>
      </w:pPr>
      <w:bookmarkStart w:id="212" w:name="_Toc213690086"/>
      <w:bookmarkStart w:id="213" w:name="_Toc213773557"/>
      <w:bookmarkStart w:id="214" w:name="_Toc213663155"/>
      <w:bookmarkStart w:id="215" w:name="_Toc213662961"/>
      <w:r>
        <w:t>本标准用词说明</w:t>
      </w:r>
      <w:bookmarkEnd w:id="212"/>
      <w:bookmarkEnd w:id="213"/>
      <w:bookmarkEnd w:id="214"/>
      <w:bookmarkEnd w:id="215"/>
    </w:p>
    <w:p>
      <w:pPr>
        <w:ind w:firstLine="480"/>
      </w:pPr>
      <w:r>
        <w:t xml:space="preserve">1 </w:t>
      </w:r>
      <w:r>
        <w:rPr>
          <w:rFonts w:hint="eastAsia"/>
        </w:rPr>
        <w:t xml:space="preserve"> </w:t>
      </w:r>
      <w:r>
        <w:t>为了便于执行本标准，对于条文中要求严格程度不同的用词说明如下：</w:t>
      </w:r>
    </w:p>
    <w:p>
      <w:pPr>
        <w:ind w:firstLine="480"/>
        <w:rPr>
          <w:rFonts w:ascii="宋体" w:hAnsi="宋体"/>
        </w:rPr>
      </w:pPr>
      <w:r>
        <w:t>1）</w:t>
      </w:r>
      <w:r>
        <w:rPr>
          <w:rFonts w:ascii="宋体" w:hAnsi="宋体"/>
        </w:rPr>
        <w:t>表示很严格，非这样做不可的：正面词采用“必须”，反面词采用“禁止”。</w:t>
      </w:r>
    </w:p>
    <w:p>
      <w:pPr>
        <w:ind w:firstLine="480"/>
      </w:pPr>
      <w:r>
        <w:t>2）</w:t>
      </w:r>
      <w:r>
        <w:rPr>
          <w:rFonts w:ascii="宋体" w:hAnsi="宋体"/>
        </w:rPr>
        <w:t>表示严格，在正常情况下均应这样做的：正面词采用“应”，反面词采用“不应”或“不得”。</w:t>
      </w:r>
    </w:p>
    <w:p>
      <w:pPr>
        <w:ind w:firstLine="480"/>
        <w:rPr>
          <w:rFonts w:ascii="宋体" w:hAnsi="宋体"/>
        </w:rPr>
      </w:pPr>
      <w:r>
        <w:t>3）</w:t>
      </w:r>
      <w:r>
        <w:rPr>
          <w:rFonts w:ascii="宋体" w:hAnsi="宋体"/>
        </w:rPr>
        <w:t>表示允许稍有选择，在条件许可时首先应这样做的：正面词采用“宜”，反面词采用“不宜”。</w:t>
      </w:r>
    </w:p>
    <w:p>
      <w:pPr>
        <w:ind w:firstLine="480"/>
        <w:rPr>
          <w:rFonts w:ascii="宋体" w:hAnsi="宋体"/>
        </w:rPr>
      </w:pPr>
      <w:r>
        <w:t>4）</w:t>
      </w:r>
      <w:r>
        <w:rPr>
          <w:rFonts w:ascii="宋体" w:hAnsi="宋体"/>
        </w:rPr>
        <w:t>表示有选择，在一定条件下可以这样做的，采用“可”。</w:t>
      </w:r>
    </w:p>
    <w:p>
      <w:pPr>
        <w:ind w:firstLine="480"/>
        <w:rPr>
          <w:rFonts w:ascii="宋体" w:hAnsi="宋体"/>
        </w:rPr>
      </w:pPr>
      <w:r>
        <w:rPr>
          <w:rFonts w:cs="Times New Roman"/>
        </w:rPr>
        <w:t>2</w:t>
      </w:r>
      <w:r>
        <w:rPr>
          <w:rFonts w:ascii="宋体" w:hAnsi="宋体"/>
        </w:rPr>
        <w:t xml:space="preserve"> </w:t>
      </w:r>
      <w:r>
        <w:rPr>
          <w:rFonts w:hint="eastAsia" w:ascii="宋体" w:hAnsi="宋体"/>
        </w:rPr>
        <w:t xml:space="preserve"> </w:t>
      </w:r>
      <w:r>
        <w:rPr>
          <w:rFonts w:ascii="宋体" w:hAnsi="宋体"/>
        </w:rPr>
        <w:t>条文中指明应按其他有关标准、规范执行时，写法为：“应按……执行”或“应符合……要求（或规定）”</w:t>
      </w:r>
      <w:r>
        <w:rPr>
          <w:rFonts w:hint="eastAsia" w:ascii="宋体" w:hAnsi="宋体"/>
        </w:rPr>
        <w:t>。</w:t>
      </w:r>
    </w:p>
    <w:p>
      <w:pPr>
        <w:ind w:firstLine="480"/>
      </w:pPr>
    </w:p>
    <w:p>
      <w:pPr>
        <w:ind w:firstLine="480"/>
        <w:sectPr>
          <w:pgSz w:w="11906" w:h="16838"/>
          <w:pgMar w:top="1440" w:right="1800" w:bottom="1440" w:left="1800" w:header="851" w:footer="992" w:gutter="0"/>
          <w:cols w:space="425" w:num="1"/>
          <w:docGrid w:type="lines" w:linePitch="312" w:charSpace="0"/>
        </w:sectPr>
      </w:pPr>
    </w:p>
    <w:p>
      <w:pPr>
        <w:pStyle w:val="2"/>
      </w:pPr>
      <w:bookmarkStart w:id="216" w:name="_Toc213662962"/>
      <w:bookmarkStart w:id="217" w:name="_Toc213690087"/>
      <w:bookmarkStart w:id="218" w:name="_Toc213257673"/>
      <w:bookmarkStart w:id="219" w:name="_Toc213271663"/>
      <w:bookmarkStart w:id="220" w:name="_Toc213663156"/>
      <w:bookmarkStart w:id="221" w:name="_Toc212480179"/>
      <w:bookmarkStart w:id="222" w:name="_Toc213773558"/>
      <w:r>
        <w:rPr>
          <w:rFonts w:hint="eastAsia"/>
        </w:rPr>
        <w:t>引用标准</w:t>
      </w:r>
      <w:bookmarkEnd w:id="216"/>
      <w:bookmarkEnd w:id="217"/>
      <w:bookmarkEnd w:id="218"/>
      <w:bookmarkEnd w:id="219"/>
      <w:bookmarkEnd w:id="220"/>
      <w:bookmarkEnd w:id="221"/>
      <w:r>
        <w:rPr>
          <w:rFonts w:hint="eastAsia"/>
        </w:rPr>
        <w:t>名录</w:t>
      </w:r>
      <w:bookmarkEnd w:id="222"/>
    </w:p>
    <w:p>
      <w:pPr>
        <w:ind w:firstLine="480"/>
      </w:pPr>
      <w:r>
        <w:rPr>
          <w:rFonts w:hint="eastAsia"/>
        </w:rPr>
        <w:t>《混凝土外加剂》</w:t>
      </w:r>
      <w:r>
        <w:t>GB 8076</w:t>
      </w:r>
    </w:p>
    <w:p>
      <w:pPr>
        <w:ind w:firstLine="480"/>
      </w:pPr>
      <w:r>
        <w:t>《建筑地基基础设计规范》GB</w:t>
      </w:r>
      <w:r>
        <w:rPr>
          <w:rFonts w:hint="eastAsia"/>
        </w:rPr>
        <w:t xml:space="preserve"> </w:t>
      </w:r>
      <w:r>
        <w:t>50007</w:t>
      </w:r>
    </w:p>
    <w:p>
      <w:pPr>
        <w:ind w:firstLine="480"/>
      </w:pPr>
      <w:r>
        <w:rPr>
          <w:rFonts w:hint="eastAsia"/>
        </w:rPr>
        <w:t>《混凝土结构设计规范》GB 50010</w:t>
      </w:r>
    </w:p>
    <w:p>
      <w:pPr>
        <w:ind w:firstLine="480"/>
      </w:pPr>
      <w:r>
        <w:rPr>
          <w:rFonts w:hint="eastAsia"/>
        </w:rPr>
        <w:t>《混凝土质量控制标准》</w:t>
      </w:r>
      <w:r>
        <w:t>GB 50164</w:t>
      </w:r>
    </w:p>
    <w:p>
      <w:pPr>
        <w:ind w:firstLine="480"/>
      </w:pPr>
      <w:r>
        <w:rPr>
          <w:rFonts w:hint="eastAsia"/>
        </w:rPr>
        <w:t>《建筑地基基础工程施工质量验收标准》GB 50202</w:t>
      </w:r>
    </w:p>
    <w:p>
      <w:pPr>
        <w:ind w:firstLine="480"/>
      </w:pPr>
      <w:r>
        <w:rPr>
          <w:rFonts w:hint="eastAsia"/>
        </w:rPr>
        <w:t>《混凝土结构工程施工规范》</w:t>
      </w:r>
      <w:r>
        <w:t>GB</w:t>
      </w:r>
      <w:r>
        <w:rPr>
          <w:rFonts w:hint="eastAsia"/>
        </w:rPr>
        <w:t xml:space="preserve"> </w:t>
      </w:r>
      <w:r>
        <w:t>50666</w:t>
      </w:r>
    </w:p>
    <w:p>
      <w:pPr>
        <w:ind w:firstLine="480"/>
      </w:pPr>
      <w:r>
        <w:rPr>
          <w:rFonts w:hint="eastAsia"/>
        </w:rPr>
        <w:t>《水泥标准度用水量、凝结时间、安定性检验方法》GB/T 1346</w:t>
      </w:r>
    </w:p>
    <w:p>
      <w:pPr>
        <w:ind w:firstLine="480"/>
      </w:pPr>
      <w:r>
        <w:rPr>
          <w:rFonts w:hint="eastAsia"/>
        </w:rPr>
        <w:t>《用于水泥和混凝土中的粉煤灰》GB/T 1596</w:t>
      </w:r>
    </w:p>
    <w:p>
      <w:pPr>
        <w:ind w:firstLine="480"/>
      </w:pPr>
      <w:r>
        <w:rPr>
          <w:rFonts w:hint="eastAsia"/>
        </w:rPr>
        <w:t>《水泥胶砂强度检验方法(ISO法)》GB/T 17671</w:t>
      </w:r>
    </w:p>
    <w:p>
      <w:pPr>
        <w:ind w:firstLine="480"/>
      </w:pPr>
      <w:r>
        <w:rPr>
          <w:rFonts w:hint="eastAsia"/>
        </w:rPr>
        <w:t>《用于水泥和混凝土中的钢渣粉》GB/T 20491</w:t>
      </w:r>
    </w:p>
    <w:p>
      <w:pPr>
        <w:ind w:firstLine="480"/>
      </w:pPr>
      <w:r>
        <w:rPr>
          <w:rFonts w:hint="eastAsia"/>
        </w:rPr>
        <w:t>《砂浆和混凝土用硅灰》GB/T 27690</w:t>
      </w:r>
    </w:p>
    <w:p>
      <w:pPr>
        <w:ind w:firstLine="480"/>
      </w:pPr>
      <w:r>
        <w:rPr>
          <w:rFonts w:hint="eastAsia"/>
        </w:rPr>
        <w:t>《普通混凝土拌合物性能试验方法标准》GB/T 50080</w:t>
      </w:r>
    </w:p>
    <w:p>
      <w:pPr>
        <w:ind w:firstLine="480"/>
      </w:pPr>
      <w:r>
        <w:rPr>
          <w:rFonts w:hint="eastAsia"/>
        </w:rPr>
        <w:t>《混凝土强度检验评定标准》GB/T 50107</w:t>
      </w:r>
    </w:p>
    <w:p>
      <w:pPr>
        <w:ind w:firstLine="480"/>
      </w:pPr>
      <w:r>
        <w:t>《复合地基技术规范》GB/T</w:t>
      </w:r>
      <w:r>
        <w:rPr>
          <w:rFonts w:hint="eastAsia"/>
        </w:rPr>
        <w:t xml:space="preserve"> </w:t>
      </w:r>
      <w:r>
        <w:t>50783</w:t>
      </w:r>
    </w:p>
    <w:p>
      <w:pPr>
        <w:ind w:firstLine="480"/>
      </w:pPr>
      <w:r>
        <w:rPr>
          <w:rFonts w:hint="eastAsia"/>
        </w:rPr>
        <w:t>《普通混凝土用砂、石质量及检验方法标准》JGJ 52</w:t>
      </w:r>
    </w:p>
    <w:p>
      <w:pPr>
        <w:ind w:firstLine="480"/>
      </w:pPr>
      <w:r>
        <w:rPr>
          <w:rFonts w:hint="eastAsia"/>
        </w:rPr>
        <w:t>《普通混凝土配合比设计规范》JGJ 55</w:t>
      </w:r>
    </w:p>
    <w:p>
      <w:pPr>
        <w:ind w:firstLine="480"/>
      </w:pPr>
      <w:r>
        <w:rPr>
          <w:rFonts w:hint="eastAsia"/>
        </w:rPr>
        <w:t>《混凝土用水标准》JGJ 63</w:t>
      </w:r>
    </w:p>
    <w:p>
      <w:pPr>
        <w:ind w:firstLine="480"/>
        <w:rPr>
          <w:rFonts w:hint="eastAsia"/>
        </w:rPr>
      </w:pPr>
      <w:r>
        <w:rPr>
          <w:rFonts w:hint="eastAsia"/>
        </w:rPr>
        <w:t>《建筑地基处理技术规范》JGJ 79</w:t>
      </w:r>
    </w:p>
    <w:p>
      <w:pPr>
        <w:ind w:firstLine="480"/>
        <w:rPr>
          <w:rFonts w:hint="eastAsia"/>
        </w:rPr>
      </w:pPr>
      <w:r>
        <w:rPr>
          <w:rFonts w:hint="eastAsia"/>
        </w:rPr>
        <w:t>《建筑桩基技术规范》JGJ 94</w:t>
      </w:r>
    </w:p>
    <w:p>
      <w:pPr>
        <w:ind w:firstLine="480"/>
      </w:pPr>
      <w:r>
        <w:rPr>
          <w:rFonts w:hint="eastAsia"/>
          <w:bCs/>
        </w:rPr>
        <w:t>《混凝土中氯离子含量检测技术规程》</w:t>
      </w:r>
      <w:r>
        <w:rPr>
          <w:bCs/>
        </w:rPr>
        <w:t>JG</w:t>
      </w:r>
      <w:r>
        <w:rPr>
          <w:rFonts w:hint="eastAsia"/>
          <w:bCs/>
          <w:lang w:val="en-US" w:eastAsia="zh-CN"/>
        </w:rPr>
        <w:t>J</w:t>
      </w:r>
      <w:r>
        <w:rPr>
          <w:bCs/>
        </w:rPr>
        <w:t>/T</w:t>
      </w:r>
      <w:r>
        <w:rPr>
          <w:rFonts w:hint="eastAsia"/>
          <w:bCs/>
        </w:rPr>
        <w:t xml:space="preserve"> </w:t>
      </w:r>
      <w:r>
        <w:rPr>
          <w:bCs/>
        </w:rPr>
        <w:t>322</w:t>
      </w:r>
    </w:p>
    <w:p>
      <w:pPr>
        <w:ind w:firstLine="480"/>
      </w:pPr>
      <w:r>
        <w:t>《</w:t>
      </w:r>
      <w:r>
        <w:rPr>
          <w:rFonts w:hint="eastAsia"/>
        </w:rPr>
        <w:t>长螺旋钻孔压灌桩技术标准</w:t>
      </w:r>
      <w:r>
        <w:t>》JGJ/T</w:t>
      </w:r>
      <w:r>
        <w:rPr>
          <w:rFonts w:hint="eastAsia"/>
        </w:rPr>
        <w:t xml:space="preserve"> </w:t>
      </w:r>
      <w:r>
        <w:t>419</w:t>
      </w:r>
    </w:p>
    <w:p>
      <w:pPr>
        <w:ind w:firstLine="480"/>
      </w:pPr>
      <w:r>
        <w:rPr>
          <w:rFonts w:hint="eastAsia"/>
        </w:rPr>
        <w:t>《水泥原料中氯离子的化学分析方法》JC/T 420</w:t>
      </w:r>
    </w:p>
    <w:p>
      <w:pPr>
        <w:ind w:firstLine="480"/>
      </w:pPr>
      <w:r>
        <w:rPr>
          <w:rFonts w:hint="eastAsia"/>
        </w:rPr>
        <w:t>《用于水泥的钢渣》YB/T 022</w:t>
      </w:r>
    </w:p>
    <w:p>
      <w:pPr>
        <w:ind w:firstLine="480"/>
      </w:pPr>
      <w:r>
        <w:rPr>
          <w:rFonts w:hint="eastAsia"/>
        </w:rPr>
        <w:t>《普通预拌砂浆用钢渣砂》YB/T 4201</w:t>
      </w:r>
    </w:p>
    <w:p>
      <w:pPr>
        <w:ind w:firstLine="480"/>
      </w:pPr>
    </w:p>
    <w:p>
      <w:pPr>
        <w:ind w:firstLine="480"/>
        <w:sectPr>
          <w:pgSz w:w="11906" w:h="16838"/>
          <w:pgMar w:top="1440" w:right="1800" w:bottom="1440" w:left="1800" w:header="851" w:footer="992" w:gutter="0"/>
          <w:cols w:space="425" w:num="1"/>
          <w:docGrid w:type="lines" w:linePitch="312" w:charSpace="0"/>
        </w:sectPr>
      </w:pPr>
    </w:p>
    <w:p>
      <w:pPr>
        <w:spacing w:line="240" w:lineRule="auto"/>
        <w:ind w:firstLine="0" w:firstLineChars="0"/>
        <w:jc w:val="left"/>
        <w:rPr>
          <w:rFonts w:ascii="Calibri" w:hAnsi="Calibri" w:cs="Times New Roman"/>
          <w:b/>
          <w:sz w:val="44"/>
          <w:szCs w:val="44"/>
        </w:rPr>
      </w:pPr>
    </w:p>
    <w:p>
      <w:pPr>
        <w:spacing w:line="240" w:lineRule="auto"/>
        <w:ind w:firstLine="0" w:firstLineChars="0"/>
        <w:jc w:val="left"/>
        <w:rPr>
          <w:rFonts w:ascii="Calibri" w:hAnsi="Calibri" w:cs="Times New Roman"/>
          <w:b/>
          <w:sz w:val="44"/>
          <w:szCs w:val="44"/>
        </w:rPr>
      </w:pPr>
      <w:r>
        <w:rPr>
          <w:rFonts w:ascii="Calibri" w:hAnsi="Calibri" w:cs="Times New Roman"/>
          <w:b/>
          <w:sz w:val="44"/>
          <w:szCs w:val="44"/>
        </w:rPr>
        <w:fldChar w:fldCharType="begin">
          <w:fldData xml:space="preserve">ZQBKAHoAdABYAFEAOQAwAEgATQBWADUAMwA5AFcAZAA3AGsANQBqAFUAWQBzAEQAdQA2AG8ASQA0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</w:fldData>
        </w:fldChar>
      </w:r>
      <w:r>
        <w:rPr>
          <w:rFonts w:ascii="Calibri" w:hAnsi="Calibri" w:cs="Times New Roman"/>
          <w:b/>
          <w:sz w:val="44"/>
          <w:szCs w:val="44"/>
        </w:rPr>
        <w:instrText xml:space="preserve">ADDIN CNKISM.UserStyle</w:instrText>
      </w:r>
      <w:r>
        <w:rPr>
          <w:rFonts w:ascii="Calibri" w:hAnsi="Calibri" w:cs="Times New Roman"/>
          <w:b/>
          <w:sz w:val="44"/>
          <w:szCs w:val="44"/>
        </w:rPr>
        <w:fldChar w:fldCharType="end"/>
      </w:r>
    </w:p>
    <w:p>
      <w:pPr>
        <w:spacing w:line="240" w:lineRule="auto"/>
        <w:ind w:firstLine="0" w:firstLineChars="0"/>
        <w:jc w:val="center"/>
        <w:rPr>
          <w:rFonts w:ascii="Calibri" w:hAnsi="Calibri" w:cs="Times New Roman"/>
          <w:b/>
          <w:sz w:val="32"/>
          <w:szCs w:val="32"/>
        </w:rPr>
      </w:pPr>
      <w:r>
        <w:rPr>
          <w:rFonts w:ascii="Calibri" w:hAnsi="Calibri" w:cs="Times New Roman"/>
          <w:b/>
          <w:sz w:val="32"/>
          <w:szCs w:val="32"/>
        </w:rPr>
        <w:t>中国工程建设</w:t>
      </w:r>
      <w:r>
        <w:rPr>
          <w:rFonts w:hint="eastAsia" w:ascii="Calibri" w:hAnsi="Calibri" w:cs="Times New Roman"/>
          <w:b/>
          <w:sz w:val="32"/>
          <w:szCs w:val="32"/>
        </w:rPr>
        <w:t>标准化</w:t>
      </w:r>
      <w:r>
        <w:rPr>
          <w:rFonts w:ascii="Calibri" w:hAnsi="Calibri" w:cs="Times New Roman"/>
          <w:b/>
          <w:sz w:val="32"/>
          <w:szCs w:val="32"/>
        </w:rPr>
        <w:t>协会标准</w:t>
      </w:r>
    </w:p>
    <w:p>
      <w:pPr>
        <w:spacing w:line="240" w:lineRule="auto"/>
        <w:ind w:firstLine="0" w:firstLineChars="0"/>
        <w:jc w:val="center"/>
        <w:rPr>
          <w:rFonts w:ascii="Calibri" w:hAnsi="Calibri" w:cs="Times New Roman"/>
          <w:b/>
          <w:sz w:val="30"/>
          <w:szCs w:val="30"/>
        </w:rPr>
      </w:pPr>
    </w:p>
    <w:p>
      <w:pPr>
        <w:spacing w:line="240" w:lineRule="auto"/>
        <w:ind w:firstLine="0" w:firstLineChars="0"/>
        <w:jc w:val="center"/>
        <w:rPr>
          <w:rFonts w:ascii="Calibri" w:hAnsi="Calibri" w:cs="Times New Roman"/>
          <w:b/>
          <w:sz w:val="44"/>
          <w:szCs w:val="52"/>
        </w:rPr>
      </w:pPr>
      <w:r>
        <w:rPr>
          <w:rFonts w:hint="eastAsia" w:ascii="Calibri" w:hAnsi="Calibri" w:cs="Times New Roman"/>
          <w:b/>
          <w:sz w:val="44"/>
          <w:szCs w:val="52"/>
        </w:rPr>
        <w:t>钢渣混凝土桩应用技术规程</w:t>
      </w:r>
    </w:p>
    <w:p>
      <w:pPr>
        <w:spacing w:line="240" w:lineRule="auto"/>
        <w:ind w:firstLine="0" w:firstLineChars="0"/>
        <w:jc w:val="center"/>
        <w:rPr>
          <w:rFonts w:cs="Times New Roman"/>
          <w:bCs/>
          <w:sz w:val="32"/>
          <w:szCs w:val="40"/>
        </w:rPr>
      </w:pPr>
    </w:p>
    <w:p>
      <w:pPr>
        <w:spacing w:line="240" w:lineRule="auto"/>
        <w:ind w:firstLine="0" w:firstLineChars="0"/>
        <w:jc w:val="center"/>
        <w:rPr>
          <w:rFonts w:ascii="Calibri" w:hAnsi="Calibri" w:cs="Times New Roman"/>
          <w:b/>
          <w:sz w:val="44"/>
          <w:szCs w:val="52"/>
        </w:rPr>
      </w:pPr>
    </w:p>
    <w:p>
      <w:pPr>
        <w:spacing w:line="240" w:lineRule="auto"/>
        <w:ind w:firstLine="0" w:firstLineChars="0"/>
        <w:jc w:val="center"/>
        <w:rPr>
          <w:rFonts w:cs="Times New Roman"/>
          <w:b/>
          <w:sz w:val="32"/>
          <w:szCs w:val="32"/>
        </w:rPr>
      </w:pPr>
      <w:r>
        <w:rPr>
          <w:rFonts w:cs="Times New Roman"/>
          <w:b/>
          <w:sz w:val="32"/>
          <w:szCs w:val="32"/>
        </w:rPr>
        <w:t>T/CECS ×××－202×</w:t>
      </w:r>
    </w:p>
    <w:p>
      <w:pPr>
        <w:spacing w:line="240" w:lineRule="auto"/>
        <w:ind w:firstLine="0" w:firstLineChars="0"/>
        <w:jc w:val="center"/>
        <w:rPr>
          <w:rFonts w:ascii="Calibri" w:hAnsi="Calibri" w:cs="Times New Roman"/>
          <w:b/>
          <w:sz w:val="44"/>
          <w:szCs w:val="44"/>
        </w:rPr>
      </w:pPr>
    </w:p>
    <w:p>
      <w:pPr>
        <w:spacing w:line="240" w:lineRule="auto"/>
        <w:ind w:firstLine="0" w:firstLineChars="0"/>
        <w:jc w:val="center"/>
        <w:rPr>
          <w:rFonts w:ascii="Calibri" w:hAnsi="Calibri" w:cs="Times New Roman"/>
          <w:b/>
          <w:sz w:val="44"/>
          <w:szCs w:val="44"/>
        </w:rPr>
      </w:pPr>
    </w:p>
    <w:p>
      <w:pPr>
        <w:pStyle w:val="2"/>
      </w:pPr>
      <w:bookmarkStart w:id="223" w:name="_Toc213690088"/>
      <w:bookmarkStart w:id="224" w:name="_Toc213257674"/>
      <w:bookmarkStart w:id="225" w:name="_Toc213773559"/>
      <w:bookmarkStart w:id="226" w:name="_Toc213663157"/>
      <w:bookmarkStart w:id="227" w:name="_Toc213662963"/>
      <w:bookmarkStart w:id="228" w:name="_Toc213271664"/>
      <w:r>
        <w:rPr>
          <w:rFonts w:hint="eastAsia"/>
        </w:rPr>
        <w:t>条文说明</w:t>
      </w:r>
      <w:bookmarkEnd w:id="223"/>
      <w:bookmarkEnd w:id="224"/>
      <w:bookmarkEnd w:id="225"/>
      <w:bookmarkEnd w:id="226"/>
      <w:bookmarkEnd w:id="227"/>
      <w:bookmarkEnd w:id="228"/>
    </w:p>
    <w:p>
      <w:pPr>
        <w:ind w:firstLine="480"/>
      </w:pPr>
    </w:p>
    <w:p>
      <w:pPr>
        <w:ind w:firstLine="480"/>
      </w:pPr>
    </w:p>
    <w:p>
      <w:pPr>
        <w:ind w:firstLine="480"/>
        <w:sectPr>
          <w:pgSz w:w="11906" w:h="16838"/>
          <w:pgMar w:top="1440" w:right="1800" w:bottom="1440" w:left="1800" w:header="851" w:footer="992" w:gutter="0"/>
          <w:cols w:space="425" w:num="1"/>
          <w:docGrid w:type="lines" w:linePitch="312" w:charSpace="0"/>
        </w:sectPr>
      </w:pPr>
    </w:p>
    <w:p>
      <w:pPr>
        <w:pStyle w:val="2"/>
      </w:pPr>
      <w:bookmarkStart w:id="229" w:name="_Toc213662964"/>
      <w:bookmarkStart w:id="230" w:name="_Toc213773560"/>
      <w:bookmarkStart w:id="231" w:name="_Toc213690089"/>
      <w:bookmarkStart w:id="232" w:name="_Toc213690388"/>
      <w:bookmarkStart w:id="233" w:name="_Toc213663399"/>
      <w:bookmarkStart w:id="234" w:name="_Toc213663158"/>
      <w:r>
        <w:t>制定说明</w:t>
      </w:r>
      <w:bookmarkEnd w:id="229"/>
      <w:bookmarkEnd w:id="230"/>
      <w:bookmarkEnd w:id="231"/>
      <w:bookmarkEnd w:id="232"/>
      <w:bookmarkEnd w:id="233"/>
      <w:bookmarkEnd w:id="234"/>
    </w:p>
    <w:p>
      <w:pPr>
        <w:ind w:firstLine="480"/>
      </w:pPr>
      <w:r>
        <w:rPr>
          <w:rFonts w:hint="eastAsia"/>
        </w:rPr>
        <w:t>《钢渣混凝土桩应用技术规程》编制过程中，编制组系统调研了钢渣混凝土桩的材料选用、设计方法、施工工艺、质量检验与工程验收等方面的实践经验，在总结国内相关工程应用成果并参考国内外先进标准的基础上，制定了涵盖材料、设计、施工、检测与验收全过程的技术规定。</w:t>
      </w:r>
    </w:p>
    <w:p>
      <w:pPr>
        <w:ind w:firstLine="480"/>
      </w:pPr>
      <w:r>
        <w:rPr>
          <w:rFonts w:hint="eastAsia"/>
        </w:rPr>
        <w:t>钢渣混凝土桩具有适用地层广、施工灵活、质量可靠、工效高、成本低和低碳环保等特点，是一种承载力良好、材料利用率高的桩型，符合资源节约型社会建设需求，在地基处理领域具有广阔应用前景。本规程适用于各类建设工程中不同地层条件下的钢渣混凝土桩材料选用、设计、施工、检测与监测工作。</w:t>
      </w:r>
    </w:p>
    <w:p>
      <w:pPr>
        <w:ind w:firstLine="480"/>
      </w:pPr>
      <w:r>
        <w:t>为便于广大技术和管理人员在使用《</w:t>
      </w:r>
      <w:r>
        <w:rPr>
          <w:rFonts w:hint="eastAsia"/>
        </w:rPr>
        <w:t>钢渣混凝土桩应用技术规程</w:t>
      </w:r>
      <w:r>
        <w:t>》时能正确理解和执行条款规定，编制组按章、节、条顺序编制了条文说明，对条款规定的目的、依据以及执行中需注意的有关事项等进行了说明。本条文说明不具备与标准正文及附录同等的法律效力，仅供使用者作为理解和把握标准规定的参考</w:t>
      </w:r>
      <w:r>
        <w:rPr>
          <w:rFonts w:hint="eastAsia"/>
        </w:rPr>
        <w:t>。</w:t>
      </w:r>
    </w:p>
    <w:p>
      <w:pPr>
        <w:ind w:firstLine="422"/>
        <w:rPr>
          <w:rFonts w:ascii="Calibri" w:hAnsi="Calibri" w:cs="Times New Roman"/>
          <w:b/>
          <w:sz w:val="21"/>
        </w:rPr>
      </w:pPr>
    </w:p>
    <w:p>
      <w:pPr>
        <w:ind w:firstLine="422"/>
        <w:rPr>
          <w:rFonts w:ascii="Calibri" w:hAnsi="Calibri" w:cs="Times New Roman"/>
          <w:b/>
          <w:sz w:val="21"/>
        </w:rPr>
        <w:sectPr>
          <w:pgSz w:w="11906" w:h="16838"/>
          <w:pgMar w:top="1440" w:right="1800" w:bottom="1440" w:left="1800" w:header="851" w:footer="992" w:gutter="0"/>
          <w:cols w:space="425" w:num="1"/>
          <w:docGrid w:type="lines" w:linePitch="312" w:charSpace="0"/>
        </w:sectPr>
      </w:pPr>
    </w:p>
    <w:sdt>
      <w:sdtPr>
        <w:rPr>
          <w:rFonts w:ascii="Times New Roman" w:hAnsi="Times New Roman" w:eastAsia="宋体" w:cstheme="minorBidi"/>
          <w:color w:val="auto"/>
          <w:kern w:val="2"/>
          <w:sz w:val="24"/>
          <w:szCs w:val="21"/>
          <w:lang w:val="zh-CN"/>
        </w:rPr>
        <w:id w:val="427632730"/>
        <w:docPartObj>
          <w:docPartGallery w:val="Table of Contents"/>
          <w:docPartUnique/>
        </w:docPartObj>
      </w:sdtPr>
      <w:sdtEndPr>
        <w:rPr>
          <w:rFonts w:ascii="Times New Roman" w:hAnsi="Times New Roman" w:eastAsia="宋体" w:cstheme="minorBidi"/>
          <w:b/>
          <w:bCs/>
          <w:color w:val="auto"/>
          <w:kern w:val="2"/>
          <w:sz w:val="24"/>
          <w:szCs w:val="21"/>
          <w:lang w:val="zh-CN"/>
        </w:rPr>
      </w:sdtEndPr>
      <w:sdtContent>
        <w:p>
          <w:pPr>
            <w:pStyle w:val="63"/>
            <w:spacing w:before="480" w:after="120" w:line="360" w:lineRule="auto"/>
            <w:jc w:val="center"/>
            <w:rPr>
              <w:rFonts w:ascii="黑体" w:hAnsi="黑体" w:eastAsia="黑体"/>
              <w:color w:val="auto"/>
            </w:rPr>
          </w:pPr>
          <w:r>
            <w:rPr>
              <w:rFonts w:ascii="黑体" w:hAnsi="黑体" w:eastAsia="黑体"/>
              <w:color w:val="auto"/>
              <w:lang w:val="zh-CN"/>
            </w:rPr>
            <w:t>目</w:t>
          </w:r>
          <w:r>
            <w:rPr>
              <w:rFonts w:hint="eastAsia" w:ascii="黑体" w:hAnsi="黑体" w:eastAsia="黑体"/>
              <w:color w:val="auto"/>
              <w:lang w:val="zh-CN"/>
            </w:rPr>
            <w:t xml:space="preserve">  录</w:t>
          </w:r>
          <w:r>
            <w:rPr>
              <w:color w:val="auto"/>
            </w:rPr>
            <w:fldChar w:fldCharType="begin"/>
          </w:r>
          <w:r>
            <w:rPr>
              <w:color w:val="auto"/>
            </w:rPr>
            <w:instrText xml:space="preserve"> TOC \o "1-3" \h \z \u </w:instrText>
          </w:r>
          <w:r>
            <w:rPr>
              <w:color w:val="auto"/>
            </w:rPr>
            <w:fldChar w:fldCharType="separate"/>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"_Toc213663159" </w:instrText>
          </w:r>
          <w:r>
            <w:fldChar w:fldCharType="separate"/>
          </w:r>
          <w:r>
            <w:rPr>
              <w:rStyle w:val="27"/>
              <w:rFonts w:hint="eastAsia"/>
              <w:color w:val="auto"/>
            </w:rPr>
            <w:t>1  总则</w:t>
          </w:r>
          <w:r>
            <w:rPr>
              <w:rFonts w:hint="eastAsia"/>
            </w:rPr>
            <w:tab/>
          </w:r>
          <w:r>
            <w:rPr>
              <w:rFonts w:hint="eastAsia"/>
            </w:rPr>
            <w:fldChar w:fldCharType="begin"/>
          </w:r>
          <w:r>
            <w:rPr>
              <w:rFonts w:hint="eastAsia"/>
            </w:rPr>
            <w:instrText xml:space="preserve"> </w:instrText>
          </w:r>
          <w:r>
            <w:instrText xml:space="preserve">PAGEREF _Toc213663159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"_Toc213663160" </w:instrText>
          </w:r>
          <w:r>
            <w:fldChar w:fldCharType="separate"/>
          </w:r>
          <w:r>
            <w:rPr>
              <w:rStyle w:val="27"/>
              <w:rFonts w:hint="eastAsia"/>
              <w:color w:val="auto"/>
            </w:rPr>
            <w:t>4  材料</w:t>
          </w:r>
          <w:r>
            <w:rPr>
              <w:rFonts w:hint="eastAsia"/>
            </w:rPr>
            <w:tab/>
          </w:r>
          <w:r>
            <w:rPr>
              <w:rFonts w:hint="eastAsia"/>
            </w:rPr>
            <w:fldChar w:fldCharType="begin"/>
          </w:r>
          <w:r>
            <w:rPr>
              <w:rFonts w:hint="eastAsia"/>
            </w:rPr>
            <w:instrText xml:space="preserve"> </w:instrText>
          </w:r>
          <w:r>
            <w:instrText xml:space="preserve">PAGEREF _Toc213663160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"_Toc213663161" </w:instrText>
          </w:r>
          <w:r>
            <w:fldChar w:fldCharType="separate"/>
          </w:r>
          <w:r>
            <w:rPr>
              <w:rStyle w:val="27"/>
              <w:rFonts w:hint="eastAsia"/>
              <w:color w:val="auto"/>
            </w:rPr>
            <w:t>5  钢渣混凝土配合比设计</w:t>
          </w:r>
          <w:r>
            <w:rPr>
              <w:rFonts w:hint="eastAsia"/>
            </w:rPr>
            <w:tab/>
          </w:r>
          <w:r>
            <w:rPr>
              <w:rFonts w:hint="eastAsia"/>
            </w:rPr>
            <w:fldChar w:fldCharType="begin"/>
          </w:r>
          <w:r>
            <w:rPr>
              <w:rFonts w:hint="eastAsia"/>
            </w:rPr>
            <w:instrText xml:space="preserve"> </w:instrText>
          </w:r>
          <w:r>
            <w:instrText xml:space="preserve">PAGEREF _Toc213663161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"_Toc213663162" </w:instrText>
          </w:r>
          <w:r>
            <w:fldChar w:fldCharType="separate"/>
          </w:r>
          <w:r>
            <w:rPr>
              <w:rStyle w:val="27"/>
              <w:rFonts w:hint="eastAsia"/>
              <w:color w:val="auto"/>
            </w:rPr>
            <w:t>6  钢渣混凝土桩复合地基设计</w:t>
          </w:r>
          <w:r>
            <w:rPr>
              <w:rFonts w:hint="eastAsia"/>
            </w:rPr>
            <w:tab/>
          </w:r>
          <w:r>
            <w:rPr>
              <w:rFonts w:hint="eastAsia"/>
            </w:rPr>
            <w:fldChar w:fldCharType="begin"/>
          </w:r>
          <w:r>
            <w:rPr>
              <w:rFonts w:hint="eastAsia"/>
            </w:rPr>
            <w:instrText xml:space="preserve"> </w:instrText>
          </w:r>
          <w:r>
            <w:instrText xml:space="preserve">PAGEREF _Toc213663162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"_Toc213663163" </w:instrText>
          </w:r>
          <w:r>
            <w:fldChar w:fldCharType="separate"/>
          </w:r>
          <w:r>
            <w:rPr>
              <w:rStyle w:val="27"/>
              <w:rFonts w:hint="eastAsia"/>
              <w:color w:val="auto"/>
            </w:rPr>
            <w:t>6.1  一般规定</w:t>
          </w:r>
          <w:r>
            <w:rPr>
              <w:rFonts w:hint="eastAsia"/>
            </w:rPr>
            <w:tab/>
          </w:r>
          <w:r>
            <w:rPr>
              <w:rFonts w:hint="eastAsia"/>
            </w:rPr>
            <w:fldChar w:fldCharType="begin"/>
          </w:r>
          <w:r>
            <w:rPr>
              <w:rFonts w:hint="eastAsia"/>
            </w:rPr>
            <w:instrText xml:space="preserve"> </w:instrText>
          </w:r>
          <w:r>
            <w:instrText xml:space="preserve">PAGEREF _Toc213663163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"_Toc213663164" </w:instrText>
          </w:r>
          <w:r>
            <w:fldChar w:fldCharType="separate"/>
          </w:r>
          <w:r>
            <w:rPr>
              <w:rStyle w:val="27"/>
              <w:rFonts w:hint="eastAsia"/>
              <w:color w:val="auto"/>
            </w:rPr>
            <w:t>6.2  设计要求</w:t>
          </w:r>
          <w:r>
            <w:rPr>
              <w:rFonts w:hint="eastAsia"/>
            </w:rPr>
            <w:tab/>
          </w:r>
          <w:r>
            <w:rPr>
              <w:rFonts w:hint="eastAsia"/>
            </w:rPr>
            <w:fldChar w:fldCharType="begin"/>
          </w:r>
          <w:r>
            <w:rPr>
              <w:rFonts w:hint="eastAsia"/>
            </w:rPr>
            <w:instrText xml:space="preserve"> </w:instrText>
          </w:r>
          <w:r>
            <w:instrText xml:space="preserve">PAGEREF _Toc213663164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"_Toc213663165" </w:instrText>
          </w:r>
          <w:r>
            <w:fldChar w:fldCharType="separate"/>
          </w:r>
          <w:r>
            <w:rPr>
              <w:rStyle w:val="27"/>
              <w:rFonts w:hint="eastAsia"/>
              <w:color w:val="auto"/>
            </w:rPr>
            <w:t>6.3  承载力计算</w:t>
          </w:r>
          <w:r>
            <w:rPr>
              <w:rFonts w:hint="eastAsia"/>
            </w:rPr>
            <w:tab/>
          </w:r>
          <w:r>
            <w:rPr>
              <w:rFonts w:hint="eastAsia"/>
            </w:rPr>
            <w:fldChar w:fldCharType="begin"/>
          </w:r>
          <w:r>
            <w:rPr>
              <w:rFonts w:hint="eastAsia"/>
            </w:rPr>
            <w:instrText xml:space="preserve"> </w:instrText>
          </w:r>
          <w:r>
            <w:instrText xml:space="preserve">PAGEREF _Toc213663165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"_Toc213663166" </w:instrText>
          </w:r>
          <w:r>
            <w:fldChar w:fldCharType="separate"/>
          </w:r>
          <w:r>
            <w:rPr>
              <w:rStyle w:val="27"/>
              <w:rFonts w:hint="eastAsia"/>
              <w:color w:val="auto"/>
            </w:rPr>
            <w:t>6.4  变形计算</w:t>
          </w:r>
          <w:r>
            <w:rPr>
              <w:rFonts w:hint="eastAsia"/>
            </w:rPr>
            <w:tab/>
          </w:r>
          <w:r>
            <w:rPr>
              <w:rFonts w:hint="eastAsia"/>
            </w:rPr>
            <w:fldChar w:fldCharType="begin"/>
          </w:r>
          <w:r>
            <w:rPr>
              <w:rFonts w:hint="eastAsia"/>
            </w:rPr>
            <w:instrText xml:space="preserve"> </w:instrText>
          </w:r>
          <w:r>
            <w:instrText xml:space="preserve">PAGEREF _Toc213663166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"_Toc213663167" </w:instrText>
          </w:r>
          <w:r>
            <w:fldChar w:fldCharType="separate"/>
          </w:r>
          <w:r>
            <w:rPr>
              <w:rStyle w:val="27"/>
              <w:rFonts w:hint="eastAsia"/>
              <w:color w:val="auto"/>
            </w:rPr>
            <w:t>7  施工</w:t>
          </w:r>
          <w:r>
            <w:rPr>
              <w:rFonts w:hint="eastAsia"/>
            </w:rPr>
            <w:tab/>
          </w:r>
          <w:r>
            <w:rPr>
              <w:rFonts w:hint="eastAsia"/>
            </w:rPr>
            <w:fldChar w:fldCharType="begin"/>
          </w:r>
          <w:r>
            <w:rPr>
              <w:rFonts w:hint="eastAsia"/>
            </w:rPr>
            <w:instrText xml:space="preserve"> </w:instrText>
          </w:r>
          <w:r>
            <w:instrText xml:space="preserve">PAGEREF _Toc213663167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"_Toc213663168" </w:instrText>
          </w:r>
          <w:r>
            <w:fldChar w:fldCharType="separate"/>
          </w:r>
          <w:r>
            <w:rPr>
              <w:rStyle w:val="27"/>
              <w:rFonts w:hint="eastAsia"/>
              <w:color w:val="auto"/>
            </w:rPr>
            <w:t>8  质量检测与验收</w:t>
          </w:r>
          <w:r>
            <w:rPr>
              <w:rFonts w:hint="eastAsia"/>
            </w:rPr>
            <w:tab/>
          </w:r>
          <w:r>
            <w:rPr>
              <w:rFonts w:hint="eastAsia"/>
            </w:rPr>
            <w:fldChar w:fldCharType="begin"/>
          </w:r>
          <w:r>
            <w:rPr>
              <w:rFonts w:hint="eastAsia"/>
            </w:rPr>
            <w:instrText xml:space="preserve"> </w:instrText>
          </w:r>
          <w:r>
            <w:instrText xml:space="preserve">PAGEREF _Toc213663168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"_Toc213663169" </w:instrText>
          </w:r>
          <w:r>
            <w:fldChar w:fldCharType="separate"/>
          </w:r>
          <w:r>
            <w:rPr>
              <w:rStyle w:val="27"/>
              <w:rFonts w:hint="eastAsia"/>
              <w:color w:val="auto"/>
            </w:rPr>
            <w:t>8.1  一般规定</w:t>
          </w:r>
          <w:r>
            <w:rPr>
              <w:rStyle w:val="27"/>
              <w:rFonts w:hint="cs"/>
              <w:color w:val="auto"/>
            </w:rPr>
            <w:t>‌</w:t>
          </w:r>
          <w:r>
            <w:rPr>
              <w:rFonts w:hint="eastAsia"/>
            </w:rPr>
            <w:tab/>
          </w:r>
          <w:r>
            <w:rPr>
              <w:rFonts w:hint="eastAsia"/>
            </w:rPr>
            <w:fldChar w:fldCharType="begin"/>
          </w:r>
          <w:r>
            <w:rPr>
              <w:rFonts w:hint="eastAsia"/>
            </w:rPr>
            <w:instrText xml:space="preserve"> </w:instrText>
          </w:r>
          <w:r>
            <w:instrText xml:space="preserve">PAGEREF _Toc213663169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"_Toc213663170" </w:instrText>
          </w:r>
          <w:r>
            <w:fldChar w:fldCharType="separate"/>
          </w:r>
          <w:r>
            <w:rPr>
              <w:rStyle w:val="27"/>
              <w:rFonts w:hint="eastAsia"/>
              <w:color w:val="auto"/>
            </w:rPr>
            <w:t>8.2  复合地基检测规定</w:t>
          </w:r>
          <w:r>
            <w:rPr>
              <w:rStyle w:val="27"/>
              <w:rFonts w:hint="cs"/>
              <w:color w:val="auto"/>
            </w:rPr>
            <w:t>‌</w:t>
          </w:r>
          <w:r>
            <w:rPr>
              <w:rFonts w:hint="eastAsia"/>
            </w:rPr>
            <w:tab/>
          </w:r>
          <w:r>
            <w:rPr>
              <w:rFonts w:hint="eastAsia"/>
            </w:rPr>
            <w:fldChar w:fldCharType="begin"/>
          </w:r>
          <w:r>
            <w:rPr>
              <w:rFonts w:hint="eastAsia"/>
            </w:rPr>
            <w:instrText xml:space="preserve"> </w:instrText>
          </w:r>
          <w:r>
            <w:instrText xml:space="preserve">PAGEREF _Toc213663170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"_Toc213663171" </w:instrText>
          </w:r>
          <w:r>
            <w:fldChar w:fldCharType="separate"/>
          </w:r>
          <w:r>
            <w:rPr>
              <w:rStyle w:val="27"/>
              <w:rFonts w:hint="eastAsia"/>
              <w:color w:val="auto"/>
            </w:rPr>
            <w:t>8.3  基桩检测规定</w:t>
          </w:r>
          <w:r>
            <w:rPr>
              <w:rStyle w:val="27"/>
              <w:rFonts w:hint="cs"/>
              <w:color w:val="auto"/>
            </w:rPr>
            <w:t>‌</w:t>
          </w:r>
          <w:r>
            <w:rPr>
              <w:rFonts w:hint="eastAsia"/>
            </w:rPr>
            <w:tab/>
          </w:r>
          <w:r>
            <w:rPr>
              <w:rFonts w:hint="eastAsia"/>
            </w:rPr>
            <w:fldChar w:fldCharType="begin"/>
          </w:r>
          <w:r>
            <w:rPr>
              <w:rFonts w:hint="eastAsia"/>
            </w:rPr>
            <w:instrText xml:space="preserve"> </w:instrText>
          </w:r>
          <w:r>
            <w:instrText xml:space="preserve">PAGEREF _Toc213663171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"_Toc213663172" </w:instrText>
          </w:r>
          <w:r>
            <w:fldChar w:fldCharType="separate"/>
          </w:r>
          <w:r>
            <w:rPr>
              <w:rStyle w:val="27"/>
              <w:rFonts w:hint="eastAsia"/>
              <w:color w:val="auto"/>
            </w:rPr>
            <w:t>8.5  验证与扩大检测</w:t>
          </w:r>
          <w:r>
            <w:rPr>
              <w:rStyle w:val="27"/>
              <w:rFonts w:hint="cs"/>
              <w:color w:val="auto"/>
            </w:rPr>
            <w:t>‌</w:t>
          </w:r>
          <w:r>
            <w:rPr>
              <w:rFonts w:hint="eastAsia"/>
            </w:rPr>
            <w:tab/>
          </w:r>
          <w:r>
            <w:rPr>
              <w:rFonts w:hint="eastAsia"/>
            </w:rPr>
            <w:fldChar w:fldCharType="begin"/>
          </w:r>
          <w:r>
            <w:rPr>
              <w:rFonts w:hint="eastAsia"/>
            </w:rPr>
            <w:instrText xml:space="preserve"> </w:instrText>
          </w:r>
          <w:r>
            <w:instrText xml:space="preserve">PAGEREF _Toc213663172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"_Toc213663173" </w:instrText>
          </w:r>
          <w:r>
            <w:fldChar w:fldCharType="separate"/>
          </w:r>
          <w:r>
            <w:rPr>
              <w:rStyle w:val="27"/>
              <w:rFonts w:hint="eastAsia"/>
              <w:color w:val="auto"/>
            </w:rPr>
            <w:t>8.6  检测结果评价和检测报告</w:t>
          </w:r>
          <w:r>
            <w:rPr>
              <w:rStyle w:val="27"/>
              <w:rFonts w:hint="cs"/>
              <w:color w:val="auto"/>
            </w:rPr>
            <w:t>‌</w:t>
          </w:r>
          <w:r>
            <w:rPr>
              <w:rFonts w:hint="eastAsia"/>
            </w:rPr>
            <w:tab/>
          </w:r>
          <w:r>
            <w:rPr>
              <w:rFonts w:hint="eastAsia"/>
            </w:rPr>
            <w:fldChar w:fldCharType="begin"/>
          </w:r>
          <w:r>
            <w:rPr>
              <w:rFonts w:hint="eastAsia"/>
            </w:rPr>
            <w:instrText xml:space="preserve"> </w:instrText>
          </w:r>
          <w:r>
            <w:instrText xml:space="preserve">PAGEREF _Toc213663173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pPr>
            <w:ind w:firstLine="0" w:firstLineChars="0"/>
          </w:pPr>
          <w:r>
            <w:rPr>
              <w:b/>
              <w:bCs/>
              <w:lang w:val="zh-CN"/>
            </w:rPr>
            <w:fldChar w:fldCharType="end"/>
          </w:r>
        </w:p>
      </w:sdtContent>
    </w:sdt>
    <w:p>
      <w:pPr>
        <w:spacing w:before="480" w:after="120" w:line="360" w:lineRule="auto"/>
        <w:ind w:firstLine="0" w:firstLineChars="0"/>
        <w:jc w:val="center"/>
        <w:rPr>
          <w:rFonts w:eastAsia="黑体" w:cs="Times New Roman"/>
          <w:b/>
          <w:bCs/>
          <w:sz w:val="32"/>
          <w:szCs w:val="24"/>
        </w:rPr>
        <w:sectPr>
          <w:pgSz w:w="11906" w:h="16838"/>
          <w:pgMar w:top="1440" w:right="1800" w:bottom="1440" w:left="1800" w:header="851" w:footer="992" w:gutter="0"/>
          <w:cols w:space="425" w:num="1"/>
          <w:docGrid w:type="lines" w:linePitch="312" w:charSpace="0"/>
        </w:sectPr>
      </w:pPr>
    </w:p>
    <w:p>
      <w:pPr>
        <w:spacing w:before="480" w:after="120" w:line="360" w:lineRule="auto"/>
        <w:ind w:firstLine="0" w:firstLineChars="0"/>
        <w:jc w:val="center"/>
        <w:rPr>
          <w:rFonts w:eastAsia="黑体" w:cs="Times New Roman"/>
          <w:b/>
          <w:bCs/>
          <w:sz w:val="32"/>
          <w:szCs w:val="24"/>
        </w:rPr>
      </w:pPr>
      <w:r>
        <w:rPr>
          <w:rFonts w:eastAsia="黑体" w:cs="Times New Roman"/>
          <w:b/>
          <w:bCs/>
          <w:sz w:val="32"/>
          <w:szCs w:val="24"/>
        </w:rPr>
        <w:t>Contents</w:t>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"_Toc213663159" </w:instrText>
      </w:r>
      <w:r>
        <w:fldChar w:fldCharType="separate"/>
      </w:r>
      <w:r>
        <w:rPr>
          <w:rStyle w:val="27"/>
          <w:rFonts w:hint="eastAsia"/>
          <w:color w:val="auto"/>
          <w:u w:val="none"/>
        </w:rPr>
        <w:t xml:space="preserve">1  </w:t>
      </w:r>
      <w:r>
        <w:rPr>
          <w:rStyle w:val="27"/>
          <w:color w:val="auto"/>
          <w:u w:val="none"/>
        </w:rPr>
        <w:t>General provisions</w:t>
      </w:r>
      <w:r>
        <w:rPr>
          <w:rFonts w:hint="eastAsia"/>
        </w:rPr>
        <w:tab/>
      </w:r>
      <w:r>
        <w:rPr>
          <w:rFonts w:hint="eastAsia"/>
        </w:rPr>
        <w:fldChar w:fldCharType="begin"/>
      </w:r>
      <w:r>
        <w:rPr>
          <w:rFonts w:hint="eastAsia"/>
        </w:rPr>
        <w:instrText xml:space="preserve"> </w:instrText>
      </w:r>
      <w:r>
        <w:instrText xml:space="preserve">PAGEREF _Toc213663159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"_Toc213663160" </w:instrText>
      </w:r>
      <w:r>
        <w:fldChar w:fldCharType="separate"/>
      </w:r>
      <w:r>
        <w:rPr>
          <w:rStyle w:val="27"/>
          <w:rFonts w:hint="eastAsia"/>
          <w:color w:val="auto"/>
          <w:u w:val="none"/>
        </w:rPr>
        <w:t xml:space="preserve">4  </w:t>
      </w:r>
      <w:r>
        <w:rPr>
          <w:rStyle w:val="27"/>
          <w:color w:val="auto"/>
          <w:u w:val="none"/>
        </w:rPr>
        <w:t>Material</w:t>
      </w:r>
      <w:r>
        <w:rPr>
          <w:rFonts w:hint="eastAsia"/>
        </w:rPr>
        <w:tab/>
      </w:r>
      <w:r>
        <w:rPr>
          <w:rFonts w:hint="eastAsia"/>
        </w:rPr>
        <w:fldChar w:fldCharType="begin"/>
      </w:r>
      <w:r>
        <w:rPr>
          <w:rFonts w:hint="eastAsia"/>
        </w:rPr>
        <w:instrText xml:space="preserve"> </w:instrText>
      </w:r>
      <w:r>
        <w:instrText xml:space="preserve">PAGEREF _Toc213663160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"_Toc213663161" </w:instrText>
      </w:r>
      <w:r>
        <w:fldChar w:fldCharType="separate"/>
      </w:r>
      <w:r>
        <w:rPr>
          <w:rStyle w:val="27"/>
          <w:rFonts w:hint="eastAsia"/>
          <w:color w:val="auto"/>
          <w:u w:val="none"/>
        </w:rPr>
        <w:t xml:space="preserve">5  </w:t>
      </w:r>
      <w:r>
        <w:rPr>
          <w:rStyle w:val="27"/>
          <w:color w:val="auto"/>
          <w:u w:val="none"/>
        </w:rPr>
        <w:t>Steel slag concrete mix design</w:t>
      </w:r>
      <w:r>
        <w:rPr>
          <w:rFonts w:hint="eastAsia"/>
        </w:rPr>
        <w:tab/>
      </w:r>
      <w:r>
        <w:rPr>
          <w:rFonts w:hint="eastAsia"/>
        </w:rPr>
        <w:fldChar w:fldCharType="begin"/>
      </w:r>
      <w:r>
        <w:rPr>
          <w:rFonts w:hint="eastAsia"/>
        </w:rPr>
        <w:instrText xml:space="preserve"> </w:instrText>
      </w:r>
      <w:r>
        <w:instrText xml:space="preserve">PAGEREF _Toc213663161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"_Toc213663162" </w:instrText>
      </w:r>
      <w:r>
        <w:fldChar w:fldCharType="separate"/>
      </w:r>
      <w:r>
        <w:rPr>
          <w:rStyle w:val="27"/>
          <w:rFonts w:hint="eastAsia"/>
          <w:color w:val="auto"/>
          <w:u w:val="none"/>
        </w:rPr>
        <w:t xml:space="preserve">6  </w:t>
      </w:r>
      <w:r>
        <w:rPr>
          <w:rStyle w:val="27"/>
          <w:color w:val="auto"/>
          <w:u w:val="none"/>
        </w:rPr>
        <w:t>Steel slag concrete pile composite foundation design</w:t>
      </w:r>
      <w:r>
        <w:rPr>
          <w:rFonts w:hint="eastAsia"/>
        </w:rPr>
        <w:tab/>
      </w:r>
      <w:r>
        <w:rPr>
          <w:rFonts w:hint="eastAsia"/>
        </w:rPr>
        <w:fldChar w:fldCharType="begin"/>
      </w:r>
      <w:r>
        <w:rPr>
          <w:rFonts w:hint="eastAsia"/>
        </w:rPr>
        <w:instrText xml:space="preserve"> </w:instrText>
      </w:r>
      <w:r>
        <w:instrText xml:space="preserve">PAGEREF _Toc213663162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"_Toc213663163" </w:instrText>
      </w:r>
      <w:r>
        <w:fldChar w:fldCharType="separate"/>
      </w:r>
      <w:r>
        <w:rPr>
          <w:rStyle w:val="27"/>
          <w:rFonts w:hint="eastAsia"/>
          <w:color w:val="auto"/>
          <w:u w:val="none"/>
        </w:rPr>
        <w:t xml:space="preserve">6.1  </w:t>
      </w:r>
      <w:r>
        <w:rPr>
          <w:rStyle w:val="27"/>
          <w:color w:val="auto"/>
          <w:u w:val="none"/>
        </w:rPr>
        <w:t>General provisions</w:t>
      </w:r>
      <w:r>
        <w:rPr>
          <w:rFonts w:hint="eastAsia"/>
        </w:rPr>
        <w:tab/>
      </w:r>
      <w:r>
        <w:rPr>
          <w:rFonts w:hint="eastAsia"/>
        </w:rPr>
        <w:fldChar w:fldCharType="begin"/>
      </w:r>
      <w:r>
        <w:rPr>
          <w:rFonts w:hint="eastAsia"/>
        </w:rPr>
        <w:instrText xml:space="preserve"> </w:instrText>
      </w:r>
      <w:r>
        <w:instrText xml:space="preserve">PAGEREF _Toc213663163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"_Toc213663164" </w:instrText>
      </w:r>
      <w:r>
        <w:fldChar w:fldCharType="separate"/>
      </w:r>
      <w:r>
        <w:rPr>
          <w:rStyle w:val="27"/>
          <w:rFonts w:hint="eastAsia"/>
          <w:color w:val="auto"/>
          <w:u w:val="none"/>
        </w:rPr>
        <w:t xml:space="preserve">6.2  </w:t>
      </w:r>
      <w:r>
        <w:rPr>
          <w:rStyle w:val="27"/>
          <w:color w:val="auto"/>
          <w:u w:val="none"/>
        </w:rPr>
        <w:t xml:space="preserve">Design </w:t>
      </w:r>
      <w:r>
        <w:rPr>
          <w:rStyle w:val="27"/>
          <w:rFonts w:hint="eastAsia"/>
          <w:color w:val="auto"/>
          <w:u w:val="none"/>
        </w:rPr>
        <w:t>r</w:t>
      </w:r>
      <w:r>
        <w:rPr>
          <w:rStyle w:val="27"/>
          <w:color w:val="auto"/>
          <w:u w:val="none"/>
        </w:rPr>
        <w:t>equirements</w:t>
      </w:r>
      <w:r>
        <w:rPr>
          <w:rFonts w:hint="eastAsia"/>
        </w:rPr>
        <w:tab/>
      </w:r>
      <w:r>
        <w:rPr>
          <w:rFonts w:hint="eastAsia"/>
        </w:rPr>
        <w:fldChar w:fldCharType="begin"/>
      </w:r>
      <w:r>
        <w:rPr>
          <w:rFonts w:hint="eastAsia"/>
        </w:rPr>
        <w:instrText xml:space="preserve"> </w:instrText>
      </w:r>
      <w:r>
        <w:instrText xml:space="preserve">PAGEREF _Toc213663164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"_Toc213663165" </w:instrText>
      </w:r>
      <w:r>
        <w:fldChar w:fldCharType="separate"/>
      </w:r>
      <w:r>
        <w:rPr>
          <w:rStyle w:val="27"/>
          <w:rFonts w:hint="eastAsia"/>
          <w:color w:val="auto"/>
          <w:u w:val="none"/>
        </w:rPr>
        <w:t xml:space="preserve">6.3  </w:t>
      </w:r>
      <w:r>
        <w:rPr>
          <w:rStyle w:val="27"/>
          <w:color w:val="auto"/>
          <w:u w:val="none"/>
        </w:rPr>
        <w:t>Bearing capacity calculation</w:t>
      </w:r>
      <w:r>
        <w:rPr>
          <w:rFonts w:hint="eastAsia"/>
        </w:rPr>
        <w:tab/>
      </w:r>
      <w:r>
        <w:rPr>
          <w:rFonts w:hint="eastAsia"/>
        </w:rPr>
        <w:fldChar w:fldCharType="begin"/>
      </w:r>
      <w:r>
        <w:rPr>
          <w:rFonts w:hint="eastAsia"/>
        </w:rPr>
        <w:instrText xml:space="preserve"> </w:instrText>
      </w:r>
      <w:r>
        <w:instrText xml:space="preserve">PAGEREF _Toc213663165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"_Toc213663166" </w:instrText>
      </w:r>
      <w:r>
        <w:fldChar w:fldCharType="separate"/>
      </w:r>
      <w:r>
        <w:rPr>
          <w:rStyle w:val="27"/>
          <w:rFonts w:hint="eastAsia"/>
          <w:color w:val="auto"/>
          <w:u w:val="none"/>
        </w:rPr>
        <w:t xml:space="preserve">6.4  </w:t>
      </w:r>
      <w:r>
        <w:rPr>
          <w:rStyle w:val="27"/>
          <w:color w:val="auto"/>
          <w:u w:val="none"/>
        </w:rPr>
        <w:t>Deformation calculation</w:t>
      </w:r>
      <w:r>
        <w:rPr>
          <w:rFonts w:hint="eastAsia"/>
        </w:rPr>
        <w:tab/>
      </w:r>
      <w:r>
        <w:rPr>
          <w:rFonts w:hint="eastAsia"/>
        </w:rPr>
        <w:fldChar w:fldCharType="begin"/>
      </w:r>
      <w:r>
        <w:rPr>
          <w:rFonts w:hint="eastAsia"/>
        </w:rPr>
        <w:instrText xml:space="preserve"> </w:instrText>
      </w:r>
      <w:r>
        <w:instrText xml:space="preserve">PAGEREF _Toc213663166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"_Toc213663167" </w:instrText>
      </w:r>
      <w:r>
        <w:fldChar w:fldCharType="separate"/>
      </w:r>
      <w:r>
        <w:rPr>
          <w:rStyle w:val="27"/>
          <w:rFonts w:hint="eastAsia"/>
          <w:color w:val="auto"/>
          <w:u w:val="none"/>
        </w:rPr>
        <w:t>7  C</w:t>
      </w:r>
      <w:r>
        <w:rPr>
          <w:rStyle w:val="27"/>
          <w:color w:val="auto"/>
          <w:u w:val="none"/>
        </w:rPr>
        <w:t>onstruction</w:t>
      </w:r>
      <w:r>
        <w:rPr>
          <w:rFonts w:hint="eastAsia"/>
        </w:rPr>
        <w:tab/>
      </w:r>
      <w:r>
        <w:rPr>
          <w:rFonts w:hint="eastAsia"/>
        </w:rPr>
        <w:fldChar w:fldCharType="begin"/>
      </w:r>
      <w:r>
        <w:rPr>
          <w:rFonts w:hint="eastAsia"/>
        </w:rPr>
        <w:instrText xml:space="preserve"> </w:instrText>
      </w:r>
      <w:r>
        <w:instrText xml:space="preserve">PAGEREF _Toc213663167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pPr>
        <w:pStyle w:val="18"/>
        <w:tabs>
          <w:tab w:val="right" w:leader="dot" w:pos="8296"/>
        </w:tabs>
        <w:rPr>
          <w:rFonts w:asciiTheme="minorHAnsi" w:hAnsiTheme="minorHAnsi" w:eastAsiaTheme="minorEastAsia"/>
          <w:sz w:val="22"/>
          <w:szCs w:val="24"/>
          <w14:ligatures w14:val="standardContextual"/>
        </w:rPr>
      </w:pPr>
      <w:r>
        <w:fldChar w:fldCharType="begin"/>
      </w:r>
      <w:r>
        <w:instrText xml:space="preserve"> HYPERLINK \l "_Toc213663168" </w:instrText>
      </w:r>
      <w:r>
        <w:fldChar w:fldCharType="separate"/>
      </w:r>
      <w:r>
        <w:rPr>
          <w:rStyle w:val="27"/>
          <w:rFonts w:hint="eastAsia"/>
          <w:color w:val="auto"/>
          <w:u w:val="none"/>
        </w:rPr>
        <w:t xml:space="preserve">8  </w:t>
      </w:r>
      <w:r>
        <w:rPr>
          <w:rStyle w:val="27"/>
          <w:color w:val="auto"/>
          <w:u w:val="none"/>
        </w:rPr>
        <w:t>Quality Inspection and Acceptance</w:t>
      </w:r>
      <w:r>
        <w:rPr>
          <w:rFonts w:hint="eastAsia"/>
        </w:rPr>
        <w:tab/>
      </w:r>
      <w:r>
        <w:rPr>
          <w:rFonts w:hint="eastAsia"/>
        </w:rPr>
        <w:fldChar w:fldCharType="begin"/>
      </w:r>
      <w:r>
        <w:rPr>
          <w:rFonts w:hint="eastAsia"/>
        </w:rPr>
        <w:instrText xml:space="preserve"> </w:instrText>
      </w:r>
      <w:r>
        <w:instrText xml:space="preserve">PAGEREF _Toc213663168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"_Toc213663169" </w:instrText>
      </w:r>
      <w:r>
        <w:fldChar w:fldCharType="separate"/>
      </w:r>
      <w:r>
        <w:rPr>
          <w:rStyle w:val="27"/>
          <w:rFonts w:hint="eastAsia"/>
          <w:color w:val="auto"/>
          <w:u w:val="none"/>
        </w:rPr>
        <w:t xml:space="preserve">8.1  </w:t>
      </w:r>
      <w:r>
        <w:rPr>
          <w:rStyle w:val="27"/>
          <w:color w:val="auto"/>
          <w:u w:val="none"/>
        </w:rPr>
        <w:t>General Provisions</w:t>
      </w:r>
      <w:r>
        <w:rPr>
          <w:rStyle w:val="27"/>
          <w:rFonts w:hint="cs"/>
          <w:color w:val="auto"/>
          <w:u w:val="none"/>
        </w:rPr>
        <w:t xml:space="preserve"> ‌</w:t>
      </w:r>
      <w:r>
        <w:rPr>
          <w:rFonts w:hint="eastAsia"/>
        </w:rPr>
        <w:tab/>
      </w:r>
      <w:r>
        <w:rPr>
          <w:rFonts w:hint="eastAsia"/>
        </w:rPr>
        <w:fldChar w:fldCharType="begin"/>
      </w:r>
      <w:r>
        <w:rPr>
          <w:rFonts w:hint="eastAsia"/>
        </w:rPr>
        <w:instrText xml:space="preserve"> </w:instrText>
      </w:r>
      <w:r>
        <w:instrText xml:space="preserve">PAGEREF _Toc213663169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"_Toc213663170" </w:instrText>
      </w:r>
      <w:r>
        <w:fldChar w:fldCharType="separate"/>
      </w:r>
      <w:r>
        <w:rPr>
          <w:rStyle w:val="27"/>
          <w:rFonts w:hint="eastAsia"/>
          <w:color w:val="auto"/>
          <w:u w:val="none"/>
        </w:rPr>
        <w:t xml:space="preserve">8.2  </w:t>
      </w:r>
      <w:r>
        <w:rPr>
          <w:rStyle w:val="27"/>
          <w:color w:val="auto"/>
          <w:u w:val="none"/>
        </w:rPr>
        <w:t>Composite foundation testing</w:t>
      </w:r>
      <w:r>
        <w:rPr>
          <w:rStyle w:val="27"/>
          <w:rFonts w:hint="cs"/>
          <w:color w:val="auto"/>
          <w:u w:val="none"/>
        </w:rPr>
        <w:t xml:space="preserve"> ‌</w:t>
      </w:r>
      <w:r>
        <w:rPr>
          <w:rFonts w:hint="eastAsia"/>
        </w:rPr>
        <w:tab/>
      </w:r>
      <w:r>
        <w:rPr>
          <w:rFonts w:hint="eastAsia"/>
        </w:rPr>
        <w:fldChar w:fldCharType="begin"/>
      </w:r>
      <w:r>
        <w:rPr>
          <w:rFonts w:hint="eastAsia"/>
        </w:rPr>
        <w:instrText xml:space="preserve"> </w:instrText>
      </w:r>
      <w:r>
        <w:instrText xml:space="preserve">PAGEREF _Toc213663170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"_Toc213663171" </w:instrText>
      </w:r>
      <w:r>
        <w:fldChar w:fldCharType="separate"/>
      </w:r>
      <w:r>
        <w:rPr>
          <w:rStyle w:val="27"/>
          <w:rFonts w:hint="eastAsia"/>
          <w:color w:val="auto"/>
          <w:u w:val="none"/>
        </w:rPr>
        <w:t xml:space="preserve">8.3  </w:t>
      </w:r>
      <w:r>
        <w:rPr>
          <w:rStyle w:val="27"/>
          <w:color w:val="auto"/>
          <w:u w:val="none"/>
        </w:rPr>
        <w:t>Pile foundation inspection regulations</w:t>
      </w:r>
      <w:r>
        <w:rPr>
          <w:rFonts w:hint="eastAsia"/>
        </w:rPr>
        <w:tab/>
      </w:r>
      <w:r>
        <w:rPr>
          <w:rFonts w:hint="eastAsia"/>
        </w:rPr>
        <w:fldChar w:fldCharType="begin"/>
      </w:r>
      <w:r>
        <w:rPr>
          <w:rFonts w:hint="eastAsia"/>
        </w:rPr>
        <w:instrText xml:space="preserve"> </w:instrText>
      </w:r>
      <w:r>
        <w:instrText xml:space="preserve">PAGEREF _Toc213663171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"_Toc213663172" </w:instrText>
      </w:r>
      <w:r>
        <w:fldChar w:fldCharType="separate"/>
      </w:r>
      <w:r>
        <w:rPr>
          <w:rStyle w:val="27"/>
          <w:rFonts w:hint="eastAsia"/>
          <w:color w:val="auto"/>
          <w:u w:val="none"/>
        </w:rPr>
        <w:t xml:space="preserve">8.5  </w:t>
      </w:r>
      <w:r>
        <w:rPr>
          <w:rStyle w:val="27"/>
          <w:color w:val="auto"/>
          <w:u w:val="none"/>
        </w:rPr>
        <w:t xml:space="preserve">Validation and </w:t>
      </w:r>
      <w:r>
        <w:rPr>
          <w:rStyle w:val="27"/>
          <w:rFonts w:hint="eastAsia"/>
          <w:color w:val="auto"/>
          <w:u w:val="none"/>
        </w:rPr>
        <w:t>e</w:t>
      </w:r>
      <w:r>
        <w:rPr>
          <w:rStyle w:val="27"/>
          <w:color w:val="auto"/>
          <w:u w:val="none"/>
        </w:rPr>
        <w:t xml:space="preserve">xpansion </w:t>
      </w:r>
      <w:r>
        <w:rPr>
          <w:rStyle w:val="27"/>
          <w:rFonts w:hint="eastAsia"/>
          <w:color w:val="auto"/>
          <w:u w:val="none"/>
        </w:rPr>
        <w:t>t</w:t>
      </w:r>
      <w:r>
        <w:rPr>
          <w:rStyle w:val="27"/>
          <w:color w:val="auto"/>
          <w:u w:val="none"/>
        </w:rPr>
        <w:t>esting</w:t>
      </w:r>
      <w:r>
        <w:rPr>
          <w:rFonts w:hint="eastAsia"/>
        </w:rPr>
        <w:tab/>
      </w:r>
      <w:r>
        <w:rPr>
          <w:rFonts w:hint="eastAsia"/>
        </w:rPr>
        <w:fldChar w:fldCharType="begin"/>
      </w:r>
      <w:r>
        <w:rPr>
          <w:rFonts w:hint="eastAsia"/>
        </w:rPr>
        <w:instrText xml:space="preserve"> </w:instrText>
      </w:r>
      <w:r>
        <w:instrText xml:space="preserve">PAGEREF _Toc213663172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pPr>
        <w:pStyle w:val="20"/>
        <w:ind w:left="480"/>
        <w:rPr>
          <w:rFonts w:asciiTheme="minorHAnsi" w:hAnsiTheme="minorHAnsi" w:eastAsiaTheme="minorEastAsia"/>
          <w:sz w:val="22"/>
          <w:szCs w:val="24"/>
          <w14:ligatures w14:val="standardContextual"/>
        </w:rPr>
      </w:pPr>
      <w:r>
        <w:fldChar w:fldCharType="begin"/>
      </w:r>
      <w:r>
        <w:instrText xml:space="preserve"> HYPERLINK \l "_Toc213663173" </w:instrText>
      </w:r>
      <w:r>
        <w:fldChar w:fldCharType="separate"/>
      </w:r>
      <w:r>
        <w:rPr>
          <w:rStyle w:val="27"/>
          <w:rFonts w:hint="eastAsia"/>
          <w:color w:val="auto"/>
          <w:u w:val="none"/>
        </w:rPr>
        <w:t xml:space="preserve">8.6  </w:t>
      </w:r>
      <w:r>
        <w:rPr>
          <w:rStyle w:val="27"/>
          <w:color w:val="auto"/>
          <w:u w:val="none"/>
        </w:rPr>
        <w:t>Test result evaluation and test report</w:t>
      </w:r>
      <w:r>
        <w:rPr>
          <w:rStyle w:val="27"/>
          <w:rFonts w:hint="cs"/>
          <w:color w:val="auto"/>
          <w:u w:val="none"/>
        </w:rPr>
        <w:t xml:space="preserve"> ‌</w:t>
      </w:r>
      <w:r>
        <w:rPr>
          <w:rFonts w:hint="eastAsia"/>
        </w:rPr>
        <w:tab/>
      </w:r>
      <w:r>
        <w:rPr>
          <w:rFonts w:hint="eastAsia"/>
        </w:rPr>
        <w:fldChar w:fldCharType="begin"/>
      </w:r>
      <w:r>
        <w:rPr>
          <w:rFonts w:hint="eastAsia"/>
        </w:rPr>
        <w:instrText xml:space="preserve"> </w:instrText>
      </w:r>
      <w:r>
        <w:instrText xml:space="preserve">PAGEREF _Toc213663173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pPr>
        <w:ind w:firstLine="422"/>
        <w:rPr>
          <w:rFonts w:ascii="Calibri" w:hAnsi="Calibri" w:cs="Times New Roman"/>
          <w:b/>
          <w:sz w:val="21"/>
        </w:rPr>
      </w:pPr>
    </w:p>
    <w:p>
      <w:pPr>
        <w:ind w:firstLine="422"/>
        <w:rPr>
          <w:rFonts w:ascii="Calibri" w:hAnsi="Calibri" w:cs="Times New Roman"/>
          <w:b/>
          <w:sz w:val="21"/>
        </w:rPr>
      </w:pPr>
    </w:p>
    <w:p>
      <w:pPr>
        <w:ind w:firstLine="422"/>
        <w:rPr>
          <w:rFonts w:ascii="Calibri" w:hAnsi="Calibri" w:cs="Times New Roman"/>
          <w:b/>
          <w:sz w:val="21"/>
        </w:rPr>
        <w:sectPr>
          <w:pgSz w:w="11906" w:h="16838"/>
          <w:pgMar w:top="1440" w:right="1800" w:bottom="1440" w:left="1800" w:header="851" w:footer="992" w:gutter="0"/>
          <w:cols w:space="425" w:num="1"/>
          <w:docGrid w:type="lines" w:linePitch="312" w:charSpace="0"/>
        </w:sectPr>
      </w:pPr>
    </w:p>
    <w:p>
      <w:pPr>
        <w:pStyle w:val="2"/>
      </w:pPr>
      <w:bookmarkStart w:id="235" w:name="_Toc213773561"/>
      <w:bookmarkStart w:id="236" w:name="_Toc213690389"/>
      <w:bookmarkStart w:id="237" w:name="_Toc213690090"/>
      <w:bookmarkStart w:id="238" w:name="_Toc213662965"/>
      <w:bookmarkStart w:id="239" w:name="_Toc213663159"/>
      <w:bookmarkStart w:id="240" w:name="_Toc213663400"/>
      <w:r>
        <w:t xml:space="preserve">1 </w:t>
      </w:r>
      <w:r>
        <w:rPr>
          <w:rFonts w:hint="eastAsia"/>
        </w:rPr>
        <w:t xml:space="preserve"> </w:t>
      </w:r>
      <w:r>
        <w:t>总则</w:t>
      </w:r>
      <w:bookmarkEnd w:id="235"/>
      <w:bookmarkEnd w:id="236"/>
      <w:bookmarkEnd w:id="237"/>
      <w:bookmarkEnd w:id="238"/>
      <w:bookmarkEnd w:id="239"/>
      <w:bookmarkEnd w:id="240"/>
    </w:p>
    <w:p>
      <w:pPr>
        <w:ind w:firstLine="0" w:firstLineChars="0"/>
      </w:pPr>
      <w:r>
        <w:t xml:space="preserve">1.0.1 </w:t>
      </w:r>
      <w:r>
        <w:rPr>
          <w:rFonts w:hint="eastAsia"/>
        </w:rPr>
        <w:t xml:space="preserve"> </w:t>
      </w:r>
      <w:r>
        <w:rPr>
          <w:rFonts w:hint="eastAsia" w:ascii="宋体" w:hAnsi="宋体"/>
        </w:rPr>
        <w:t>国家在“双碳”（碳达峰、碳中和）战略指引下，大力倡导绿色建材和低碳施工技术。作为钢铁生产中的主要副产品，钢渣长期堆积不仅占用大量土地，还可能引发环境污染。在这一背景下，将钢渣应用于混凝土桩中，既可将其转化为宝贵的工程材料，又能减少对传统水泥的依赖，从而降低能耗与碳排放，降低环境污染，契合国家“绿色低碳”的发展理念。</w:t>
      </w:r>
    </w:p>
    <w:p>
      <w:pPr>
        <w:ind w:firstLine="480"/>
      </w:pPr>
      <w:r>
        <w:rPr>
          <w:rFonts w:hint="eastAsia"/>
        </w:rPr>
        <w:t>钢渣作为固废，可用到混凝土中作为胶凝材料和骨料，但成型的钢渣混凝土存在体积安定性导致体积膨胀等问题，导致在结构工程应用中可能存在危害。当混凝土混合料中钢渣含量超出一定含量时，所形成结构的初始强度较低，对建筑整体稳定性产生一定的危害，限制了钢渣大范围应用到建筑领域中。经过大量文献调研、实地考察以及与企业交流，发现钢渣作为桩体材料应用到复合地基中，拥有转危害为优势的效果。首先复合地基由于桩土共同受力的加固方式，可更大程度地发挥土体潜力，所以对桩体强度的要求较低。在复合地基中，由于对桩体强度的要求较低，可以适当增加钢渣含量降低SSC强度，从而增大钢渣利用率。其次，钢渣的膨胀性，一定程度上可挤密桩周土体，加强复合地基承载能力。因此，使用钢渣混凝土桩复合地基加固具备合理的理论优势和技术可行性。</w:t>
      </w:r>
    </w:p>
    <w:p>
      <w:pPr>
        <w:ind w:firstLine="480"/>
      </w:pPr>
      <w:r>
        <w:rPr>
          <w:rFonts w:hint="eastAsia"/>
        </w:rPr>
        <w:t>近年来，中冀建勘集团有限公司系统开展固废在岩土工程中的资源化利用研究，针对城市建设中产生的多种典型固废（包括渣土、建筑垃圾、市政固废与工业固废等）进行系统分类与特性分析，并以此为基材，研发适配的固化剂与土体改良工艺。团队持续推动固废利用技术在勘察、设计、施工与检测等方面的创新，逐步形成以固废资源化应用为核心的技术体系。2022年起，与石家庄铁道大学合作，系统开展钢渣混凝土桩复合地基的理论体系构建与工程实践研究，重点围绕钢渣混凝土材料性能、成桩机理与复合地基设计方法等方面展开攻关，形成了一套完整的理论与技术体系，并在实际工程中验证了其可行性。</w:t>
      </w:r>
    </w:p>
    <w:p>
      <w:pPr>
        <w:ind w:firstLine="480"/>
      </w:pPr>
      <w:r>
        <w:rPr>
          <w:rFonts w:hint="eastAsia"/>
        </w:rPr>
        <w:t>本规程的编制基于河北、山东、陕西等地多项工程案例的系统分析与数据统计。案例应用效果表明，钢渣混凝土桩复合地基技术适用于我国多个地区不同地层条件，具备良好的工程适用性。</w:t>
      </w:r>
    </w:p>
    <w:p>
      <w:pPr>
        <w:ind w:firstLine="480"/>
      </w:pPr>
      <w:r>
        <w:rPr>
          <w:rFonts w:hint="eastAsia"/>
        </w:rPr>
        <w:t>随着“双碳”战略的深入推进，建筑行业绿色低碳转型已成为必然趋势。钢渣混凝土桩复合地基技术不仅有助于推动钢渣资源化利用、减轻环境负荷，也在降低工程成本、提升施工效率方面展现出显著潜力。然而，该技术目前仍处于发展阶段，相关标准尚不完善，一定程度上制约了其规模化推广应用，也存在一定的技术风险。本规程的制定旨在为该技术的规范化应用提供依据，推动其健康、有序发展。</w:t>
      </w:r>
    </w:p>
    <w:p>
      <w:pPr>
        <w:ind w:firstLine="480"/>
      </w:pPr>
      <w:r>
        <w:rPr>
          <w:rFonts w:hint="eastAsia"/>
        </w:rPr>
        <w:t>为统一钢渣混凝土桩复合地基的设计方法、施工工艺及验收标准，保障结构安全与工程质量，制定本技术规程。本规程明确了钢渣混凝土桩复合地基在材料性能、设计计算、施工控制与质量检验等方面的技术要求，适用于各类工程条件下该技术的规范化应用。规程编制基于国内外钢渣混凝土及复合地基领域的最新研究成果与工程实践，重点参考了现行国家标准与行业规范，系统集成了材料设计、桩基施工、现场检测与工程验收等关键环节的技术要求。内容涵盖钢渣混凝土配合比设计、桩体成型工艺、复合地基质量检测方法及验收标准，形成完整的技术体系。</w:t>
      </w:r>
    </w:p>
    <w:p>
      <w:pPr>
        <w:ind w:firstLine="480"/>
      </w:pPr>
      <w:r>
        <w:rPr>
          <w:rFonts w:hint="eastAsia"/>
        </w:rPr>
        <w:t>本规程在多位业内专家的参与下，经多轮专题研讨与评审修订后形成征求意见稿。现面向行业公开征求修改意见，以期进一步完善内容，推动钢渣混凝土桩技术的标准化与工程应用，促进工业固废资源化利用，支撑土木工程绿色低碳发展。</w:t>
      </w:r>
    </w:p>
    <w:p>
      <w:pPr>
        <w:ind w:firstLine="0" w:firstLineChars="0"/>
      </w:pPr>
      <w:r>
        <w:t>1.0.2</w:t>
      </w:r>
      <w:r>
        <w:rPr>
          <w:rFonts w:hint="eastAsia"/>
        </w:rPr>
        <w:t xml:space="preserve"> </w:t>
      </w:r>
      <w:r>
        <w:t xml:space="preserve"> 本条规定明确了</w:t>
      </w:r>
      <w:r>
        <w:rPr>
          <w:rFonts w:hint="eastAsia"/>
        </w:rPr>
        <w:t>钢渣混凝土桩复合地基</w:t>
      </w:r>
      <w:r>
        <w:t>的适用范围，适用于各类型地层；当地下水具有腐蚀性或流动性时，需确认地下水对钢渣混凝土材料的影响可控后，方可按本规程的相关内容实施。在湿陷性黄土、膨胀土、红黏土、冻土、盐渍岩土等特殊性土地区应用</w:t>
      </w:r>
      <w:r>
        <w:rPr>
          <w:rFonts w:hint="eastAsia"/>
        </w:rPr>
        <w:t>钢渣</w:t>
      </w:r>
      <w:r>
        <w:t>混凝土桩时，应持更为谨慎的态度，充分进行前期的地质勘察与试验验证，通过先批次试验桩评价作为设计与施工依据。</w:t>
      </w:r>
    </w:p>
    <w:p>
      <w:pPr>
        <w:ind w:firstLine="0" w:firstLineChars="0"/>
      </w:pPr>
      <w:r>
        <w:t xml:space="preserve">1.0.3 </w:t>
      </w:r>
      <w:r>
        <w:rPr>
          <w:rFonts w:hint="eastAsia"/>
        </w:rPr>
        <w:t xml:space="preserve"> </w:t>
      </w:r>
      <w:r>
        <w:t>本规程强调了原材料选择与质量控制的重要性。由于</w:t>
      </w:r>
      <w:r>
        <w:rPr>
          <w:rFonts w:hint="eastAsia"/>
        </w:rPr>
        <w:t>钢渣</w:t>
      </w:r>
      <w:r>
        <w:t>混凝土的性能受固废种类、固化剂品质、外加剂种类及掺量等多种因素影响，因此必须建立严格的材料检验与验收制度。</w:t>
      </w:r>
    </w:p>
    <w:p>
      <w:pPr>
        <w:ind w:firstLine="0" w:firstLineChars="0"/>
      </w:pPr>
    </w:p>
    <w:p>
      <w:pPr>
        <w:spacing w:line="240" w:lineRule="auto"/>
        <w:ind w:firstLine="0" w:firstLineChars="0"/>
        <w:rPr>
          <w:rFonts w:ascii="Calibri" w:hAnsi="Calibri" w:cs="Times New Roman"/>
          <w:b/>
          <w:sz w:val="21"/>
        </w:rPr>
      </w:pPr>
    </w:p>
    <w:p>
      <w:pPr>
        <w:spacing w:line="240" w:lineRule="auto"/>
        <w:ind w:firstLine="0" w:firstLineChars="0"/>
        <w:jc w:val="center"/>
        <w:rPr>
          <w:rFonts w:ascii="Calibri" w:hAnsi="Calibri" w:cs="Times New Roman"/>
          <w:b/>
          <w:sz w:val="32"/>
          <w:szCs w:val="32"/>
        </w:rPr>
        <w:sectPr>
          <w:pgSz w:w="11906" w:h="16838"/>
          <w:pgMar w:top="1440" w:right="1800" w:bottom="1440" w:left="1800" w:header="851" w:footer="992" w:gutter="0"/>
          <w:cols w:space="425" w:num="1"/>
          <w:docGrid w:type="lines" w:linePitch="312" w:charSpace="0"/>
        </w:sectPr>
      </w:pPr>
    </w:p>
    <w:p>
      <w:pPr>
        <w:pStyle w:val="2"/>
      </w:pPr>
      <w:bookmarkStart w:id="241" w:name="_Toc213773562"/>
      <w:bookmarkStart w:id="242" w:name="_Toc213690390"/>
      <w:bookmarkStart w:id="243" w:name="_Toc213690091"/>
      <w:bookmarkStart w:id="244" w:name="_Toc213663401"/>
      <w:bookmarkStart w:id="245" w:name="_Toc213662966"/>
      <w:bookmarkStart w:id="246" w:name="_Toc213663160"/>
      <w:bookmarkStart w:id="247" w:name="_Toc213271665"/>
      <w:bookmarkStart w:id="248" w:name="_Toc213257675"/>
      <w:r>
        <w:t>4</w:t>
      </w:r>
      <w:r>
        <w:rPr>
          <w:rFonts w:hint="eastAsia"/>
        </w:rPr>
        <w:t xml:space="preserve">  材料</w:t>
      </w:r>
      <w:bookmarkEnd w:id="241"/>
      <w:bookmarkEnd w:id="242"/>
      <w:bookmarkEnd w:id="243"/>
      <w:bookmarkEnd w:id="244"/>
      <w:bookmarkEnd w:id="245"/>
      <w:bookmarkEnd w:id="246"/>
    </w:p>
    <w:p>
      <w:pPr>
        <w:ind w:firstLine="0" w:firstLineChars="0"/>
      </w:pPr>
      <w:r>
        <w:t xml:space="preserve">4.1.1 </w:t>
      </w:r>
      <w:r>
        <w:rPr>
          <w:rFonts w:hint="eastAsia"/>
        </w:rPr>
        <w:t xml:space="preserve"> </w:t>
      </w:r>
      <w:r>
        <w:t>本条规定了钢渣混凝土生产所用原材料的性能要求及处理方法。</w:t>
      </w:r>
    </w:p>
    <w:p>
      <w:pPr>
        <w:ind w:firstLine="0" w:firstLineChars="0"/>
      </w:pPr>
      <w:r>
        <w:t xml:space="preserve">4.1.2 </w:t>
      </w:r>
      <w:r>
        <w:rPr>
          <w:rFonts w:hint="eastAsia"/>
        </w:rPr>
        <w:t xml:space="preserve"> </w:t>
      </w:r>
      <w:r>
        <w:t>当钢渣粉温度超过60</w:t>
      </w:r>
      <w:r>
        <w:rPr>
          <w:rFonts w:hint="eastAsia"/>
        </w:rPr>
        <w:t xml:space="preserve"> </w:t>
      </w:r>
      <w:r>
        <w:t>℃，或出厂至使用时间间隔不足7天时，易导致钢渣混凝土拌合物出现速凝现象，且工作性损失速率过快。</w:t>
      </w:r>
    </w:p>
    <w:p>
      <w:pPr>
        <w:ind w:firstLine="0" w:firstLineChars="0"/>
      </w:pPr>
      <w:r>
        <w:t xml:space="preserve">4.2.1 </w:t>
      </w:r>
      <w:r>
        <w:rPr>
          <w:rFonts w:hint="eastAsia"/>
        </w:rPr>
        <w:t xml:space="preserve"> </w:t>
      </w:r>
      <w:r>
        <w:t>细骨料中杂质及有害物质对混凝土耐久性具有重要影响。为保证结构耐久性，钢渣混凝土所用细骨料性能应作相应规定。细骨料含泥量增加不仅会降低拌合物的工作性，还会削弱水泥石与骨料界面的黏结性能，从而影响混凝土的力学性能并增大收缩。当细骨料含泥量低于8%时，对钢渣混凝土性能无显著不利影响；但为保障工程质量，本标准将细骨料含泥量上限设定为5%。</w:t>
      </w:r>
    </w:p>
    <w:p>
      <w:pPr>
        <w:ind w:firstLine="0" w:firstLineChars="0"/>
      </w:pPr>
      <w:r>
        <w:t xml:space="preserve">4.2.5 </w:t>
      </w:r>
      <w:r>
        <w:rPr>
          <w:rFonts w:hint="eastAsia"/>
        </w:rPr>
        <w:t xml:space="preserve"> </w:t>
      </w:r>
      <w:r>
        <w:t>钢渣用作粗骨料的技术要求与普通混凝土用粗骨料相同，宜符合现行行业标准《普通混凝土用砂、石质量及检验方法标准》JGJ 52的规定。</w:t>
      </w:r>
    </w:p>
    <w:p>
      <w:pPr>
        <w:ind w:firstLine="0" w:firstLineChars="0"/>
      </w:pPr>
      <w:r>
        <w:t xml:space="preserve">4.2.6 </w:t>
      </w:r>
      <w:r>
        <w:rPr>
          <w:rFonts w:hint="eastAsia"/>
        </w:rPr>
        <w:t xml:space="preserve"> </w:t>
      </w:r>
      <w:r>
        <w:t>因钢渣生产条件差异，其粗骨料通常难以完全符合连续级配要求。为合理调整粗骨料级配，宜采用多种级配组合的方式进行优化。</w:t>
      </w:r>
    </w:p>
    <w:p>
      <w:pPr>
        <w:ind w:firstLine="0" w:firstLineChars="0"/>
      </w:pPr>
      <w:r>
        <w:t xml:space="preserve">4.2.8 </w:t>
      </w:r>
      <w:r>
        <w:rPr>
          <w:rFonts w:hint="eastAsia"/>
        </w:rPr>
        <w:t xml:space="preserve"> </w:t>
      </w:r>
      <w:r>
        <w:t>钢渣作为粗骨料的技术性能测试方法，与普通混凝土用粗骨料一致，应按照相关行业标准执行。</w:t>
      </w:r>
    </w:p>
    <w:p>
      <w:pPr>
        <w:ind w:firstLine="0" w:firstLineChars="0"/>
      </w:pPr>
      <w:r>
        <w:t xml:space="preserve">4.3.1 </w:t>
      </w:r>
      <w:r>
        <w:rPr>
          <w:rFonts w:hint="eastAsia"/>
        </w:rPr>
        <w:t xml:space="preserve"> </w:t>
      </w:r>
      <w:r>
        <w:t>钢渣混凝土中可掺入适量矿物掺合料。掺入F类粉煤灰有助于改善拌合物工作性能，但随着掺量提高，混凝土强度有所下降。通常，F类粉煤灰掺量不宜超过胶凝材料总量的30%。硅灰亦可作为掺合料使用，其主要作用并非改善工作性或提高强度，而是增强混凝土的耐久性，特别是降低钢渣混凝土的电通量。</w:t>
      </w:r>
    </w:p>
    <w:p>
      <w:pPr>
        <w:ind w:firstLine="0" w:firstLineChars="0"/>
      </w:pPr>
      <w:r>
        <w:t xml:space="preserve">4.3.2 </w:t>
      </w:r>
      <w:r>
        <w:rPr>
          <w:rFonts w:hint="eastAsia"/>
        </w:rPr>
        <w:t xml:space="preserve"> </w:t>
      </w:r>
      <w:r>
        <w:t>钢渣混凝土所用常用矿物掺合料的技术要求与普通混凝土一致，其检验与评定应按照国家现行相关标准执行。</w:t>
      </w:r>
    </w:p>
    <w:p>
      <w:pPr>
        <w:ind w:firstLine="0" w:firstLineChars="0"/>
      </w:pPr>
      <w:r>
        <w:t xml:space="preserve">4.3.3 </w:t>
      </w:r>
      <w:r>
        <w:rPr>
          <w:rFonts w:hint="eastAsia"/>
        </w:rPr>
        <w:t xml:space="preserve"> </w:t>
      </w:r>
      <w:r>
        <w:t>不同矿物掺合料的功能、效率及合理掺量存在差异。为防止混杂使用并确保质量，各类掺合料应分开储存。</w:t>
      </w:r>
    </w:p>
    <w:p>
      <w:pPr>
        <w:ind w:firstLine="0" w:firstLineChars="0"/>
      </w:pPr>
      <w:r>
        <w:t xml:space="preserve">4.3.4 </w:t>
      </w:r>
      <w:r>
        <w:rPr>
          <w:rFonts w:hint="eastAsia"/>
        </w:rPr>
        <w:t xml:space="preserve"> </w:t>
      </w:r>
      <w:r>
        <w:t>采用钢渣骨料的混凝土与通用硅酸盐水泥体系存在差异，外加剂在该体系中的作用效率亦不同于普通混凝土。因此，必要时应通过试验验证所选外加剂的适用性，并确定其适宜掺量。</w:t>
      </w:r>
    </w:p>
    <w:p>
      <w:pPr>
        <w:ind w:firstLine="0" w:firstLineChars="0"/>
      </w:pPr>
    </w:p>
    <w:p>
      <w:pPr>
        <w:ind w:firstLine="0" w:firstLineChars="0"/>
        <w:sectPr>
          <w:pgSz w:w="11906" w:h="16838"/>
          <w:pgMar w:top="1440" w:right="1800" w:bottom="1440" w:left="1800" w:header="851" w:footer="992" w:gutter="0"/>
          <w:cols w:space="425" w:num="1"/>
          <w:docGrid w:type="lines" w:linePitch="312" w:charSpace="0"/>
        </w:sectPr>
      </w:pPr>
    </w:p>
    <w:p>
      <w:pPr>
        <w:pStyle w:val="2"/>
      </w:pPr>
      <w:bookmarkStart w:id="249" w:name="_Toc213663161"/>
      <w:bookmarkStart w:id="250" w:name="_Toc213662967"/>
      <w:bookmarkStart w:id="251" w:name="_Toc213690391"/>
      <w:bookmarkStart w:id="252" w:name="_Toc213690092"/>
      <w:bookmarkStart w:id="253" w:name="_Toc213773563"/>
      <w:bookmarkStart w:id="254" w:name="_Toc213663402"/>
      <w:r>
        <w:t>5</w:t>
      </w:r>
      <w:r>
        <w:rPr>
          <w:rFonts w:hint="eastAsia"/>
        </w:rPr>
        <w:t xml:space="preserve">  </w:t>
      </w:r>
      <w:r>
        <w:t>钢渣</w:t>
      </w:r>
      <w:r>
        <w:rPr>
          <w:rFonts w:hint="eastAsia"/>
        </w:rPr>
        <w:t>混凝土配合比设计</w:t>
      </w:r>
      <w:bookmarkEnd w:id="249"/>
      <w:bookmarkEnd w:id="250"/>
      <w:bookmarkEnd w:id="251"/>
      <w:bookmarkEnd w:id="252"/>
      <w:bookmarkEnd w:id="253"/>
      <w:bookmarkEnd w:id="254"/>
    </w:p>
    <w:p>
      <w:pPr>
        <w:ind w:firstLine="0" w:firstLineChars="0"/>
      </w:pPr>
      <w:r>
        <w:rPr>
          <w:rFonts w:hint="eastAsia"/>
        </w:rPr>
        <w:t xml:space="preserve">5.1.1  </w:t>
      </w:r>
      <w:r>
        <w:t>本条规定了钢渣混凝土配合比设计应遵循的基本原则。钢渣混凝土拌合物黏度较大，硬化体收缩较明显，遵循低胶凝材料用量与低用水量的原则，是确保其综合性能及经济适用性的重要措施。</w:t>
      </w:r>
    </w:p>
    <w:p>
      <w:pPr>
        <w:ind w:firstLine="0" w:firstLineChars="0"/>
      </w:pPr>
      <w:r>
        <w:rPr>
          <w:rFonts w:hint="eastAsia"/>
        </w:rPr>
        <w:t xml:space="preserve">5.1.2  </w:t>
      </w:r>
      <w:r>
        <w:t>长期工程实践表明，以工程实际使用的原材料及干燥状态骨料为基准进行配合比设计，具有良好可操作性且应用效果理想，已为行业广泛接受。</w:t>
      </w:r>
    </w:p>
    <w:p>
      <w:pPr>
        <w:ind w:firstLine="0" w:firstLineChars="0"/>
      </w:pPr>
      <w:r>
        <w:rPr>
          <w:rFonts w:hint="eastAsia"/>
        </w:rPr>
        <w:t xml:space="preserve">5.1.3  </w:t>
      </w:r>
      <w:r>
        <w:t>控制最大水胶比是保证钢渣混凝土力学性能与耐久性能的关键措施。现行国家标准《混凝土结构设计规范》GB 50010对不同环境条件下的混凝土最大水胶比已有明确规定，钢渣混凝土配合比设计应遵循该规范要求。</w:t>
      </w:r>
    </w:p>
    <w:p>
      <w:pPr>
        <w:ind w:firstLine="0" w:firstLineChars="0"/>
      </w:pPr>
      <w:r>
        <w:rPr>
          <w:rFonts w:hint="eastAsia"/>
        </w:rPr>
        <w:t xml:space="preserve">5.2.1、5.2.2  </w:t>
      </w:r>
      <w:r>
        <w:t>拌合物工作性对工程质量具有重要影响。钢渣混凝土通常具有较好的黏聚性与保水性，但流动性较低。对于低强度等级的钢渣混凝土，其保水性对水胶比变化较为敏感，易出现泌水现象。拌合物坍落度经时损失受初始坍落度、温度、凝结时间及运输时间等因素影响。因此，应结合具体工程条件合理控制与调整拌合物工作性。采用泵送施工时，拌合物坍落度损失宜控制在30 mm/h以内，以确保可泵性。</w:t>
      </w:r>
    </w:p>
    <w:p>
      <w:pPr>
        <w:ind w:firstLine="0" w:firstLineChars="0"/>
      </w:pPr>
      <w:r>
        <w:rPr>
          <w:rFonts w:hint="eastAsia"/>
        </w:rPr>
        <w:t xml:space="preserve">5.2.3  </w:t>
      </w:r>
      <w:r>
        <w:t>当钢渣混凝土初凝时间小于2小时时，收缩裂缝风险较高。可通过掺加缓凝剂延长凝结时间，以满足连续施工要求。缓凝剂的种类与掺量应经试验确定。</w:t>
      </w:r>
    </w:p>
    <w:p>
      <w:pPr>
        <w:ind w:firstLine="0" w:firstLineChars="0"/>
      </w:pPr>
      <w:r>
        <w:rPr>
          <w:rFonts w:hint="eastAsia"/>
        </w:rPr>
        <w:t>5</w:t>
      </w:r>
      <w:r>
        <w:t>.</w:t>
      </w:r>
      <w:r>
        <w:rPr>
          <w:rFonts w:hint="eastAsia"/>
        </w:rPr>
        <w:t>2</w:t>
      </w:r>
      <w:r>
        <w:t xml:space="preserve">.4 </w:t>
      </w:r>
      <w:r>
        <w:rPr>
          <w:rFonts w:hint="eastAsia"/>
        </w:rPr>
        <w:t xml:space="preserve"> </w:t>
      </w:r>
      <w:r>
        <w:t>限制拌合物中水溶性氯离子含量，旨在保障钢渣混凝土结构的耐久性。</w:t>
      </w:r>
    </w:p>
    <w:p>
      <w:pPr>
        <w:ind w:firstLine="0" w:firstLineChars="0"/>
      </w:pPr>
      <w:r>
        <w:rPr>
          <w:rFonts w:hint="eastAsia"/>
        </w:rPr>
        <w:t xml:space="preserve">5.3.1~5.3.3  </w:t>
      </w:r>
      <w:r>
        <w:t>本部分规定了钢渣混凝土力学性能的技术要求、检验方法，以及结构设计时主要性能指标的取值原则</w:t>
      </w:r>
    </w:p>
    <w:p>
      <w:pPr>
        <w:ind w:firstLine="0" w:firstLineChars="0"/>
      </w:pPr>
      <w:r>
        <w:rPr>
          <w:rFonts w:hint="eastAsia"/>
        </w:rPr>
        <w:t xml:space="preserve">5.4.1、5.4.2  </w:t>
      </w:r>
      <w:r>
        <w:t>普通强度等级钢渣混凝土的配制强度应满足95%强度保证率的要求。根据编制组开展的配合比设计专项研究结果，钢渣混凝土抗压强度测试数据离散性较大。为此，本标准对不同强度等级钢渣混凝土的强度标准差取值，在现行行业标准《普通混凝土配合比设计规程》JGJ 55基础上适当提高，以确保结构实体强度的可靠性。</w:t>
      </w:r>
    </w:p>
    <w:p>
      <w:pPr>
        <w:ind w:firstLine="0" w:firstLineChars="0"/>
      </w:pPr>
      <w:r>
        <w:rPr>
          <w:rFonts w:hint="eastAsia"/>
        </w:rPr>
        <w:t xml:space="preserve">5.4.4  </w:t>
      </w:r>
      <w:r>
        <w:t>钢渣混凝土的标准稠度需水量一般为15%～23%，低于通用硅酸盐水泥。在拌合物坍落度相同的条件下，其用水量较同强度等级普通混凝土低5kg～10kg。</w:t>
      </w:r>
    </w:p>
    <w:p>
      <w:pPr>
        <w:ind w:firstLine="0" w:firstLineChars="0"/>
      </w:pPr>
      <w:r>
        <w:rPr>
          <w:rFonts w:hint="eastAsia"/>
        </w:rPr>
        <w:t xml:space="preserve">5.4.5  </w:t>
      </w:r>
      <w:r>
        <w:t>本条规定了钢渣混凝土配合比设计中其他参数的计算与确定原则。</w:t>
      </w:r>
    </w:p>
    <w:p>
      <w:pPr>
        <w:ind w:firstLine="0" w:firstLineChars="0"/>
      </w:pPr>
      <w:r>
        <w:rPr>
          <w:rFonts w:hint="eastAsia"/>
        </w:rPr>
        <w:t>5</w:t>
      </w:r>
      <w:r>
        <w:t>.</w:t>
      </w:r>
      <w:r>
        <w:rPr>
          <w:rFonts w:hint="eastAsia"/>
        </w:rPr>
        <w:t>5</w:t>
      </w:r>
      <w:r>
        <w:t>.1</w:t>
      </w:r>
      <w:r>
        <w:rPr>
          <w:rFonts w:hint="eastAsia"/>
        </w:rPr>
        <w:t xml:space="preserve"> </w:t>
      </w:r>
      <w:r>
        <w:t xml:space="preserve"> 钢渣混凝土配合比的调整与验证原则与现行行业标准《普通混凝土配合比设计规程》JGJ 55保持一致。鉴于钢渣混凝土应用尚未普及，配合比设计资料积累有限，实际生产中应加强配合比设计与试验验证工作。</w:t>
      </w:r>
    </w:p>
    <w:p>
      <w:pPr>
        <w:ind w:firstLine="0" w:firstLineChars="0"/>
      </w:pPr>
      <w:r>
        <w:rPr>
          <w:rFonts w:hint="eastAsia"/>
        </w:rPr>
        <w:t>5</w:t>
      </w:r>
      <w:r>
        <w:t>.</w:t>
      </w:r>
      <w:r>
        <w:rPr>
          <w:rFonts w:hint="eastAsia"/>
        </w:rPr>
        <w:t>5</w:t>
      </w:r>
      <w:r>
        <w:t xml:space="preserve">.2 </w:t>
      </w:r>
      <w:r>
        <w:rPr>
          <w:rFonts w:hint="eastAsia"/>
        </w:rPr>
        <w:t xml:space="preserve"> </w:t>
      </w:r>
      <w:r>
        <w:t>本条规定了需要重新进行配合比设计的条件</w:t>
      </w:r>
    </w:p>
    <w:p>
      <w:pPr>
        <w:ind w:firstLine="0" w:firstLineChars="0"/>
      </w:pPr>
      <w:r>
        <w:rPr>
          <w:rFonts w:hint="eastAsia"/>
        </w:rPr>
        <w:t xml:space="preserve">5.6.9  </w:t>
      </w:r>
      <w:r>
        <w:t>对于有特殊要求或高耐久性要求的钢渣混凝土，目前积累的配合比设计数据较少，尚未形成统一的配制方法。为确保工程质量，此类配合比应在可靠的试验验证基础上确定。</w:t>
      </w:r>
    </w:p>
    <w:p>
      <w:pPr>
        <w:ind w:firstLine="480"/>
      </w:pPr>
    </w:p>
    <w:p>
      <w:pPr>
        <w:ind w:firstLine="480"/>
        <w:sectPr>
          <w:pgSz w:w="11906" w:h="16838"/>
          <w:pgMar w:top="1440" w:right="1800" w:bottom="1440" w:left="1800" w:header="851" w:footer="992" w:gutter="0"/>
          <w:cols w:space="425" w:num="1"/>
          <w:docGrid w:type="lines" w:linePitch="312" w:charSpace="0"/>
        </w:sectPr>
      </w:pPr>
    </w:p>
    <w:p>
      <w:pPr>
        <w:pStyle w:val="2"/>
      </w:pPr>
      <w:bookmarkStart w:id="255" w:name="_Toc213662968"/>
      <w:bookmarkStart w:id="256" w:name="_Toc213663162"/>
      <w:bookmarkStart w:id="257" w:name="_Toc213663403"/>
      <w:bookmarkStart w:id="258" w:name="_Toc213690093"/>
      <w:bookmarkStart w:id="259" w:name="_Toc213690392"/>
      <w:bookmarkStart w:id="260" w:name="_Toc213773564"/>
      <w:r>
        <w:rPr>
          <w:rFonts w:hint="eastAsia"/>
        </w:rPr>
        <w:t xml:space="preserve">6  </w:t>
      </w:r>
      <w:r>
        <w:t>钢渣</w:t>
      </w:r>
      <w:r>
        <w:rPr>
          <w:rFonts w:hint="eastAsia"/>
        </w:rPr>
        <w:t>混凝土</w:t>
      </w:r>
      <w:r>
        <w:t>桩复合地基设计</w:t>
      </w:r>
      <w:bookmarkEnd w:id="247"/>
      <w:bookmarkEnd w:id="248"/>
      <w:bookmarkEnd w:id="255"/>
      <w:bookmarkEnd w:id="256"/>
      <w:bookmarkEnd w:id="257"/>
      <w:bookmarkEnd w:id="258"/>
      <w:bookmarkEnd w:id="259"/>
      <w:bookmarkEnd w:id="260"/>
    </w:p>
    <w:p>
      <w:pPr>
        <w:pStyle w:val="3"/>
      </w:pPr>
      <w:bookmarkStart w:id="261" w:name="_Toc213663404"/>
      <w:bookmarkStart w:id="262" w:name="_Toc213690094"/>
      <w:bookmarkStart w:id="263" w:name="_Toc213690393"/>
      <w:bookmarkStart w:id="264" w:name="_Toc213773565"/>
      <w:bookmarkStart w:id="265" w:name="_Toc213257676"/>
      <w:bookmarkStart w:id="266" w:name="_Toc213271666"/>
      <w:bookmarkStart w:id="267" w:name="_Toc213662969"/>
      <w:bookmarkStart w:id="268" w:name="_Toc213663163"/>
      <w:r>
        <w:rPr>
          <w:rFonts w:hint="eastAsia"/>
        </w:rPr>
        <w:t>6</w:t>
      </w:r>
      <w:r>
        <w:t>.1  一般规定</w:t>
      </w:r>
      <w:bookmarkEnd w:id="261"/>
      <w:bookmarkEnd w:id="262"/>
      <w:bookmarkEnd w:id="263"/>
      <w:bookmarkEnd w:id="264"/>
      <w:bookmarkEnd w:id="265"/>
      <w:bookmarkEnd w:id="266"/>
      <w:bookmarkEnd w:id="267"/>
      <w:bookmarkEnd w:id="268"/>
    </w:p>
    <w:p>
      <w:pPr>
        <w:ind w:firstLine="0" w:firstLineChars="0"/>
        <w:rPr>
          <w:rFonts w:cs="Times New Roman"/>
        </w:rPr>
      </w:pPr>
      <w:r>
        <w:rPr>
          <w:rFonts w:hint="eastAsia" w:cs="Times New Roman"/>
        </w:rPr>
        <w:t>6</w:t>
      </w:r>
      <w:r>
        <w:rPr>
          <w:rFonts w:cs="Times New Roman"/>
        </w:rPr>
        <w:t>.1.1</w:t>
      </w:r>
      <w:r>
        <w:rPr>
          <w:rFonts w:hint="eastAsia" w:cs="Times New Roman"/>
        </w:rPr>
        <w:t xml:space="preserve">  </w:t>
      </w:r>
      <w:r>
        <w:rPr>
          <w:rFonts w:cs="Times New Roman"/>
        </w:rPr>
        <w:t>钢渣混凝土桩与桩间土体、褥垫层共同承担外部荷载构成复合地基。桩体与土体之间的协同受力，桩端承载力和桩侧摩阻力作用协调配合，以增强地基的承载力和减小地基变形。</w:t>
      </w:r>
    </w:p>
    <w:p>
      <w:pPr>
        <w:ind w:firstLine="480"/>
        <w:rPr>
          <w:rFonts w:cs="Times New Roman"/>
        </w:rPr>
      </w:pPr>
      <w:r>
        <w:rPr>
          <w:rFonts w:cs="Times New Roman"/>
        </w:rPr>
        <w:t>复合地基处理的设计、施工参数有很强的地区性，因此强调在没有地区经验时应在有代表性的场地上进行现场试验或试验性施工，并进行必要的测试，以确定设计参数和处理效果。</w:t>
      </w:r>
    </w:p>
    <w:p>
      <w:pPr>
        <w:ind w:firstLine="480"/>
        <w:rPr>
          <w:rFonts w:cs="Times New Roman"/>
        </w:rPr>
      </w:pPr>
      <w:r>
        <w:rPr>
          <w:rFonts w:cs="Times New Roman"/>
        </w:rPr>
        <w:t>钢渣混凝土桩与素混凝土桩在受力和变形特性方面没有什么区别，区别仅在于桩身材料的构成不同。</w:t>
      </w:r>
    </w:p>
    <w:p>
      <w:pPr>
        <w:ind w:firstLine="0" w:firstLineChars="0"/>
        <w:rPr>
          <w:rFonts w:cs="Times New Roman"/>
        </w:rPr>
      </w:pPr>
      <w:r>
        <w:rPr>
          <w:rFonts w:hint="eastAsia" w:cs="Times New Roman"/>
        </w:rPr>
        <w:t>6</w:t>
      </w:r>
      <w:r>
        <w:rPr>
          <w:rFonts w:cs="Times New Roman"/>
        </w:rPr>
        <w:t>.1.</w:t>
      </w:r>
      <w:r>
        <w:rPr>
          <w:rFonts w:hint="eastAsia" w:cs="Times New Roman"/>
        </w:rPr>
        <w:t>2</w:t>
      </w:r>
      <w:r>
        <w:rPr>
          <w:rFonts w:cs="Times New Roman"/>
        </w:rPr>
        <w:t xml:space="preserve"> </w:t>
      </w:r>
      <w:r>
        <w:rPr>
          <w:rFonts w:hint="eastAsia" w:cs="Times New Roman"/>
        </w:rPr>
        <w:t xml:space="preserve"> </w:t>
      </w:r>
      <w:r>
        <w:rPr>
          <w:rFonts w:cs="Times New Roman"/>
        </w:rPr>
        <w:t>钢渣混凝土桩具有较强的置换作用，其他参数相同，桩越长、桩的荷载分担比（桩承担的荷载占总荷载的百分比）越高。</w:t>
      </w:r>
    </w:p>
    <w:p>
      <w:pPr>
        <w:ind w:firstLine="480"/>
        <w:rPr>
          <w:rFonts w:cs="Times New Roman"/>
        </w:rPr>
      </w:pPr>
      <w:r>
        <w:rPr>
          <w:rFonts w:cs="Times New Roman"/>
        </w:rPr>
        <w:t>设计时宜将桩端落在较好的</w:t>
      </w:r>
      <w:r>
        <w:rPr>
          <w:rFonts w:hint="eastAsia" w:cs="Times New Roman"/>
        </w:rPr>
        <w:t>各类</w:t>
      </w:r>
      <w:r>
        <w:rPr>
          <w:rFonts w:cs="Times New Roman"/>
        </w:rPr>
        <w:t>土层上，这样可以很好地发挥桩的端阻力，也可避免场地土性变化大可能造成建筑物的沉降不均匀。</w:t>
      </w:r>
    </w:p>
    <w:p>
      <w:pPr>
        <w:ind w:firstLine="0" w:firstLineChars="0"/>
        <w:rPr>
          <w:rFonts w:cs="Times New Roman"/>
        </w:rPr>
      </w:pPr>
      <w:r>
        <w:rPr>
          <w:rFonts w:hint="eastAsia" w:cs="Times New Roman"/>
        </w:rPr>
        <w:t>6</w:t>
      </w:r>
      <w:r>
        <w:rPr>
          <w:rFonts w:cs="Times New Roman"/>
        </w:rPr>
        <w:t>.1.</w:t>
      </w:r>
      <w:r>
        <w:rPr>
          <w:rFonts w:hint="eastAsia" w:cs="Times New Roman"/>
        </w:rPr>
        <w:t>3</w:t>
      </w:r>
      <w:r>
        <w:rPr>
          <w:rFonts w:cs="Times New Roman"/>
        </w:rPr>
        <w:t xml:space="preserve">  </w:t>
      </w:r>
      <w:r>
        <w:rPr>
          <w:rFonts w:hint="eastAsia" w:cs="Times New Roman"/>
        </w:rPr>
        <w:t>钢渣混凝土处理区一定深度以下，若存在软弱土，可引起大量沉降或不均匀沉降，影响上部建筑的正常使用。</w:t>
      </w:r>
    </w:p>
    <w:p>
      <w:pPr>
        <w:ind w:firstLine="0" w:firstLineChars="0"/>
        <w:rPr>
          <w:rFonts w:cs="Times New Roman"/>
        </w:rPr>
      </w:pPr>
      <w:r>
        <w:rPr>
          <w:rFonts w:hint="eastAsia" w:cs="Times New Roman"/>
        </w:rPr>
        <w:t xml:space="preserve">6.1.4  </w:t>
      </w:r>
      <w:r>
        <w:rPr>
          <w:rFonts w:cs="Times New Roman"/>
        </w:rPr>
        <w:t>钢渣混凝土桩复合地基设计时应进行地基变形验算。特别对于地基土土性变化大，若只进行承载力设计，可能会出现变形过大或严重不均匀情况，影响建筑物的正常使用。</w:t>
      </w:r>
    </w:p>
    <w:p>
      <w:pPr>
        <w:ind w:firstLine="0" w:firstLineChars="0"/>
        <w:rPr>
          <w:rFonts w:cs="Times New Roman"/>
        </w:rPr>
      </w:pPr>
      <w:r>
        <w:rPr>
          <w:rFonts w:hint="eastAsia" w:cs="Times New Roman"/>
        </w:rPr>
        <w:t>6.1.5  钢渣混凝土桩工程也可用于山区丘陵地区，或附近存在基坑的情况。</w:t>
      </w:r>
    </w:p>
    <w:p>
      <w:pPr>
        <w:pStyle w:val="3"/>
      </w:pPr>
      <w:bookmarkStart w:id="269" w:name="_Toc213257677"/>
      <w:bookmarkStart w:id="270" w:name="_Toc213773566"/>
      <w:bookmarkStart w:id="271" w:name="_Toc213271667"/>
      <w:bookmarkStart w:id="272" w:name="_Toc213662970"/>
      <w:bookmarkStart w:id="273" w:name="_Toc213663164"/>
      <w:bookmarkStart w:id="274" w:name="_Toc213663405"/>
      <w:bookmarkStart w:id="275" w:name="_Toc213690095"/>
      <w:bookmarkStart w:id="276" w:name="_Toc213690394"/>
      <w:r>
        <w:rPr>
          <w:rFonts w:hint="eastAsia"/>
        </w:rPr>
        <w:t>6</w:t>
      </w:r>
      <w:r>
        <w:t>.2  设计要求</w:t>
      </w:r>
      <w:bookmarkEnd w:id="269"/>
      <w:bookmarkEnd w:id="270"/>
      <w:bookmarkEnd w:id="271"/>
      <w:bookmarkEnd w:id="272"/>
      <w:bookmarkEnd w:id="273"/>
      <w:bookmarkEnd w:id="274"/>
      <w:bookmarkEnd w:id="275"/>
      <w:bookmarkEnd w:id="276"/>
    </w:p>
    <w:p>
      <w:pPr>
        <w:ind w:firstLine="0" w:firstLineChars="0"/>
      </w:pPr>
      <w:r>
        <w:rPr>
          <w:rFonts w:hint="eastAsia"/>
        </w:rPr>
        <w:t>6</w:t>
      </w:r>
      <w:r>
        <w:t>.2.1</w:t>
      </w:r>
      <w:r>
        <w:rPr>
          <w:rFonts w:hint="eastAsia"/>
        </w:rPr>
        <w:t xml:space="preserve">  </w:t>
      </w:r>
      <w:r>
        <w:t>钢渣混凝土桩可只布置在基础范围，对</w:t>
      </w:r>
      <w:r>
        <w:rPr>
          <w:rFonts w:hint="eastAsia"/>
        </w:rPr>
        <w:t>软弱地基或</w:t>
      </w:r>
      <w:r>
        <w:t>可液化土地基，必要时在基础范围外可打设一定数量的</w:t>
      </w:r>
      <w:r>
        <w:rPr>
          <w:rFonts w:hint="eastAsia"/>
        </w:rPr>
        <w:t>砂石</w:t>
      </w:r>
      <w:r>
        <w:t>桩</w:t>
      </w:r>
      <w:r>
        <w:rPr>
          <w:rFonts w:hint="eastAsia"/>
        </w:rPr>
        <w:t>，加快地基固结</w:t>
      </w:r>
      <w:r>
        <w:t>。</w:t>
      </w:r>
    </w:p>
    <w:p>
      <w:pPr>
        <w:ind w:firstLine="0" w:firstLineChars="0"/>
      </w:pPr>
      <w:r>
        <w:rPr>
          <w:rFonts w:hint="eastAsia"/>
        </w:rPr>
        <w:t>6</w:t>
      </w:r>
      <w:r>
        <w:t xml:space="preserve">.2.2 </w:t>
      </w:r>
      <w:r>
        <w:rPr>
          <w:rFonts w:hint="eastAsia"/>
        </w:rPr>
        <w:t xml:space="preserve"> </w:t>
      </w:r>
      <w:r>
        <w:t>钢渣混凝土桩的桩径宜取350</w:t>
      </w:r>
      <w:r>
        <w:rPr>
          <w:rFonts w:hint="eastAsia"/>
        </w:rPr>
        <w:t xml:space="preserve"> </w:t>
      </w:r>
      <w:r>
        <w:t>mm~800</w:t>
      </w:r>
      <w:r>
        <w:rPr>
          <w:rFonts w:hint="eastAsia"/>
        </w:rPr>
        <w:t xml:space="preserve"> </w:t>
      </w:r>
      <w:r>
        <w:t>mm，桩径过小，施工质量不宜控制，桩径过大，需增加褥垫层的厚度才能保证桩土共同承担上部结构传来的荷载。</w:t>
      </w:r>
    </w:p>
    <w:p>
      <w:pPr>
        <w:ind w:firstLine="0" w:firstLineChars="0"/>
      </w:pPr>
      <w:r>
        <w:rPr>
          <w:rFonts w:hint="eastAsia"/>
        </w:rPr>
        <w:t>6</w:t>
      </w:r>
      <w:r>
        <w:t xml:space="preserve">.2.3 </w:t>
      </w:r>
      <w:r>
        <w:rPr>
          <w:rFonts w:hint="eastAsia"/>
        </w:rPr>
        <w:t xml:space="preserve"> </w:t>
      </w:r>
      <w:r>
        <w:t>钢渣混凝土桩的桩间距应满足承载力和变形量的要求。对挤土成桩工艺和不可挤密土宜采用较大桩距。</w:t>
      </w:r>
    </w:p>
    <w:p>
      <w:pPr>
        <w:ind w:firstLine="0" w:firstLineChars="0"/>
      </w:pPr>
      <w:r>
        <w:rPr>
          <w:rFonts w:hint="eastAsia"/>
        </w:rPr>
        <w:t xml:space="preserve">6.2.4  </w:t>
      </w:r>
      <w:r>
        <w:t>褥垫层在复合地基中具有如下作用：</w:t>
      </w:r>
    </w:p>
    <w:p>
      <w:pPr>
        <w:ind w:firstLine="480"/>
      </w:pPr>
      <w:r>
        <w:rPr>
          <w:rFonts w:hint="eastAsia"/>
        </w:rPr>
        <w:t xml:space="preserve">1  </w:t>
      </w:r>
      <w:r>
        <w:t>保证桩、土共同作用承担荷载，它是钢渣混凝土桩形成复合地基的重要条件。</w:t>
      </w:r>
    </w:p>
    <w:p>
      <w:pPr>
        <w:spacing w:line="240" w:lineRule="auto"/>
        <w:ind w:left="480" w:firstLine="0" w:firstLineChars="0"/>
        <w:rPr>
          <w:rFonts w:cs="Times New Roman"/>
        </w:rPr>
      </w:pPr>
      <w:r>
        <w:rPr>
          <w:rFonts w:hint="eastAsia" w:cs="Times New Roman"/>
        </w:rPr>
        <w:t xml:space="preserve">2  </w:t>
      </w:r>
      <w:r>
        <w:rPr>
          <w:rFonts w:cs="Times New Roman"/>
        </w:rPr>
        <w:t>减少基础底面的应力集中。</w:t>
      </w:r>
    </w:p>
    <w:p>
      <w:pPr>
        <w:ind w:firstLine="480"/>
        <w:rPr>
          <w:rFonts w:cs="Times New Roman"/>
        </w:rPr>
      </w:pPr>
      <w:r>
        <w:rPr>
          <w:rFonts w:cs="Times New Roman"/>
        </w:rPr>
        <w:t>3</w:t>
      </w:r>
      <w:r>
        <w:rPr>
          <w:rFonts w:hint="eastAsia" w:cs="Times New Roman"/>
        </w:rPr>
        <w:t xml:space="preserve">  </w:t>
      </w:r>
      <w:r>
        <w:rPr>
          <w:rFonts w:cs="Times New Roman"/>
        </w:rPr>
        <w:t>通过改变褥垫层的厚度，调整桩垂直荷载的分担，通常褥垫层越薄桩承担的荷载占总荷载的百分比越高，反之亦然。</w:t>
      </w:r>
    </w:p>
    <w:p>
      <w:pPr>
        <w:ind w:firstLine="480"/>
        <w:rPr>
          <w:rFonts w:cs="Times New Roman"/>
        </w:rPr>
      </w:pPr>
      <w:r>
        <w:rPr>
          <w:rFonts w:cs="Times New Roman"/>
        </w:rPr>
        <w:t>褥垫层的合理厚度为100</w:t>
      </w:r>
      <w:r>
        <w:rPr>
          <w:rFonts w:hint="eastAsia" w:cs="Times New Roman"/>
        </w:rPr>
        <w:t xml:space="preserve"> mm</w:t>
      </w:r>
      <w:r>
        <w:rPr>
          <w:rFonts w:cs="Times New Roman"/>
        </w:rPr>
        <w:t>~300</w:t>
      </w:r>
      <w:r>
        <w:rPr>
          <w:rFonts w:hint="eastAsia" w:cs="Times New Roman"/>
        </w:rPr>
        <w:t xml:space="preserve"> </w:t>
      </w:r>
      <w:r>
        <w:rPr>
          <w:rFonts w:cs="Times New Roman"/>
        </w:rPr>
        <w:t>mm，考虑施工的不均匀性，褥垫层厚度宜取150</w:t>
      </w:r>
      <w:r>
        <w:rPr>
          <w:rFonts w:hint="eastAsia" w:cs="Times New Roman"/>
        </w:rPr>
        <w:t xml:space="preserve"> </w:t>
      </w:r>
      <w:r>
        <w:rPr>
          <w:rFonts w:cs="Times New Roman"/>
        </w:rPr>
        <w:t>mm~300</w:t>
      </w:r>
      <w:r>
        <w:rPr>
          <w:rFonts w:hint="eastAsia" w:cs="Times New Roman"/>
        </w:rPr>
        <w:t xml:space="preserve"> </w:t>
      </w:r>
      <w:r>
        <w:rPr>
          <w:rFonts w:cs="Times New Roman"/>
        </w:rPr>
        <w:t>mm，当桩径大、桩距大时取高值。</w:t>
      </w:r>
    </w:p>
    <w:p>
      <w:pPr>
        <w:ind w:firstLine="480"/>
        <w:rPr>
          <w:rFonts w:cs="Times New Roman"/>
        </w:rPr>
      </w:pPr>
      <w:r>
        <w:rPr>
          <w:rFonts w:cs="Times New Roman"/>
        </w:rPr>
        <w:t>褥垫层材料不宜采用卵石等，由于卵石咬合力差，施工时扰动较大，褥垫层厚度不宜保证。</w:t>
      </w:r>
    </w:p>
    <w:p>
      <w:pPr>
        <w:pStyle w:val="3"/>
        <w:rPr>
          <w:szCs w:val="24"/>
        </w:rPr>
      </w:pPr>
      <w:bookmarkStart w:id="277" w:name="_Toc213271668"/>
      <w:bookmarkStart w:id="278" w:name="_Toc213662971"/>
      <w:bookmarkStart w:id="279" w:name="_Toc213663165"/>
      <w:bookmarkStart w:id="280" w:name="_Toc213663406"/>
      <w:bookmarkStart w:id="281" w:name="_Toc213690096"/>
      <w:bookmarkStart w:id="282" w:name="_Toc213690395"/>
      <w:bookmarkStart w:id="283" w:name="_Toc213773567"/>
      <w:bookmarkStart w:id="284" w:name="_Toc213257678"/>
      <w:r>
        <w:rPr>
          <w:rFonts w:hint="eastAsia"/>
        </w:rPr>
        <w:t>6</w:t>
      </w:r>
      <w:r>
        <w:t>.3  承载力计算</w:t>
      </w:r>
      <w:bookmarkEnd w:id="277"/>
      <w:bookmarkEnd w:id="278"/>
      <w:bookmarkEnd w:id="279"/>
      <w:bookmarkEnd w:id="280"/>
      <w:bookmarkEnd w:id="281"/>
      <w:bookmarkEnd w:id="282"/>
      <w:bookmarkEnd w:id="283"/>
      <w:bookmarkEnd w:id="284"/>
    </w:p>
    <w:p>
      <w:pPr>
        <w:ind w:firstLine="0" w:firstLineChars="0"/>
      </w:pPr>
      <w:r>
        <w:rPr>
          <w:rFonts w:hint="eastAsia"/>
        </w:rPr>
        <w:t>6</w:t>
      </w:r>
      <w:r>
        <w:t>.3.1</w:t>
      </w:r>
      <w:r>
        <w:rPr>
          <w:rFonts w:hint="eastAsia"/>
        </w:rPr>
        <w:t xml:space="preserve">  </w:t>
      </w:r>
      <w:r>
        <w:t>钢渣混凝土桩复合地基承载力，初步设计时可按公式（</w:t>
      </w:r>
      <w:r>
        <w:rPr>
          <w:rFonts w:hint="eastAsia"/>
        </w:rPr>
        <w:t>6</w:t>
      </w:r>
      <w:r>
        <w:t>.3.1-1）估算。由于桩土刚度不同，两者对承载力的贡献不可能完全同步。</w:t>
      </w:r>
    </w:p>
    <w:p>
      <w:pPr>
        <w:ind w:firstLine="480"/>
      </w:pPr>
      <w:r>
        <w:t>一般地基土的承载力发挥系数可达1.0~1.1，若桩间土是软弱土，由于休止期较长，考虑其触变性及强度缓慢增长，这个修正系数取值应小于1.0，桩土模量比较大时，且土越软取值越小；桩端土的持力层较好时，β</w:t>
      </w:r>
      <w:r>
        <w:rPr>
          <w:vertAlign w:val="subscript"/>
        </w:rPr>
        <w:t>s</w:t>
      </w:r>
      <w:r>
        <w:t>取值较小。β</w:t>
      </w:r>
      <w:r>
        <w:rPr>
          <w:vertAlign w:val="subscript"/>
        </w:rPr>
        <w:t>s</w:t>
      </w:r>
      <w:r>
        <w:t>取值应通过综合分析确定。</w:t>
      </w:r>
    </w:p>
    <w:p>
      <w:pPr>
        <w:ind w:firstLine="480"/>
      </w:pPr>
      <w:r>
        <w:t>采用相对安全的设计。初步设计时，增强体单桩承载力发挥系数和桩间土承载力发挥系数的取值范围在0.8~1.0之间，增强体单桩承载力发挥系数取高值时</w:t>
      </w:r>
      <w:r>
        <w:rPr>
          <w:rFonts w:hint="eastAsia"/>
        </w:rPr>
        <w:t>，</w:t>
      </w:r>
      <w:r>
        <w:t>桩间土承载力发挥系数应取低值，反之，增强体单桩承载力发挥系数取低值时</w:t>
      </w:r>
      <w:r>
        <w:rPr>
          <w:rFonts w:hint="eastAsia"/>
        </w:rPr>
        <w:t>，</w:t>
      </w:r>
      <w:r>
        <w:t>桩间土承载力发挥系数应取高值。没有充分的地区经验时应通过试验确定设计参数。</w:t>
      </w:r>
    </w:p>
    <w:p>
      <w:pPr>
        <w:ind w:firstLine="480"/>
      </w:pPr>
      <w:r>
        <w:rPr>
          <w:i/>
          <w:iCs/>
        </w:rPr>
        <w:t>f</w:t>
      </w:r>
      <w:r>
        <w:rPr>
          <w:vertAlign w:val="subscript"/>
        </w:rPr>
        <w:t>sk</w:t>
      </w:r>
      <w:r>
        <w:t>为加固后桩间土地基承载力特征值(kPa)，采用非挤土成桩工艺时</w:t>
      </w:r>
      <w:r>
        <w:rPr>
          <w:i/>
          <w:iCs/>
        </w:rPr>
        <w:t>f</w:t>
      </w:r>
      <w:r>
        <w:rPr>
          <w:vertAlign w:val="subscript"/>
        </w:rPr>
        <w:t>sk</w:t>
      </w:r>
      <w:r>
        <w:t>可取天然地基承载力特征值。采用挤土成桩工艺时，对于软弱结构性土，如淤泥质土等，施工扰动桩间土强度降低，完工后随着恢复期增长强度有所增加。土性不同，强度恢复程度和时间不同</w:t>
      </w:r>
      <w:r>
        <w:rPr>
          <w:rFonts w:hint="eastAsia"/>
        </w:rPr>
        <w:t>。钢渣混凝土桩具有微膨胀性，对不同土性地基桩间土的强度变化缺少经验，</w:t>
      </w:r>
      <w:r>
        <w:t>应进行现场载荷试验确定。</w:t>
      </w:r>
    </w:p>
    <w:p>
      <w:pPr>
        <w:ind w:firstLine="480"/>
        <w:rPr>
          <w:rFonts w:cs="Times New Roman"/>
        </w:rPr>
      </w:pPr>
      <w:r>
        <w:rPr>
          <w:rFonts w:cs="Times New Roman"/>
        </w:rPr>
        <w:t>现场载荷试验和公式计算实例对比：</w:t>
      </w:r>
    </w:p>
    <w:p>
      <w:pPr>
        <w:ind w:firstLine="480"/>
        <w:rPr>
          <w:rFonts w:cs="Times New Roman"/>
          <w:iCs/>
        </w:rPr>
      </w:pPr>
      <w:r>
        <w:rPr>
          <w:rFonts w:cs="Times New Roman"/>
          <w:iCs/>
        </w:rPr>
        <w:t>钢渣混凝土桩，桩长近似7 m，桩直径0.5 m，周长</w:t>
      </w:r>
      <w:r>
        <w:rPr>
          <w:rFonts w:cs="Times New Roman"/>
          <w:iCs/>
          <w:position w:val="-14"/>
        </w:rPr>
        <w:object>
          <v:shape id="_x0000_i1056" o:spt="75" type="#_x0000_t75" style="height:19pt;width:86.5pt;" o:ole="t" filled="f" o:preferrelative="t" stroked="f" coordsize="21600,21600">
            <v:path/>
            <v:fill on="f" focussize="0,0"/>
            <v:stroke on="f" joinstyle="miter"/>
            <v:imagedata r:id="rId85" o:title=""/>
            <o:lock v:ext="edit" aspectratio="t"/>
            <w10:wrap type="none"/>
            <w10:anchorlock/>
          </v:shape>
          <o:OLEObject Type="Embed" ProgID="Equation.DSMT4" ShapeID="_x0000_i1056" DrawAspect="Content" ObjectID="_1468075756" r:id="rId84">
            <o:LockedField>false</o:LockedField>
          </o:OLEObject>
        </w:object>
      </w:r>
      <w:r>
        <w:rPr>
          <w:rFonts w:cs="Times New Roman"/>
          <w:iCs/>
        </w:rPr>
        <w:t>，底面积</w:t>
      </w:r>
      <w:r>
        <w:rPr>
          <w:rFonts w:cs="Times New Roman"/>
          <w:iCs/>
          <w:position w:val="-10"/>
        </w:rPr>
        <w:object>
          <v:shape id="_x0000_i1057" o:spt="75" type="#_x0000_t75" style="height:19pt;width:96pt;" o:ole="t" filled="f" o:preferrelative="t" stroked="f" coordsize="21600,21600">
            <v:path/>
            <v:fill on="f" focussize="0,0"/>
            <v:stroke on="f" joinstyle="miter"/>
            <v:imagedata r:id="rId87" o:title=""/>
            <o:lock v:ext="edit" aspectratio="t"/>
            <w10:wrap type="none"/>
            <w10:anchorlock/>
          </v:shape>
          <o:OLEObject Type="Embed" ProgID="Equation.DSMT4" ShapeID="_x0000_i1057" DrawAspect="Content" ObjectID="_1468075757" r:id="rId86">
            <o:LockedField>false</o:LockedField>
          </o:OLEObject>
        </w:object>
      </w:r>
      <w:r>
        <w:rPr>
          <w:rFonts w:cs="Times New Roman"/>
          <w:iCs/>
        </w:rPr>
        <w:t>。初步设计加载值时，由桩周土和桩端土的抗力可能提供的单桩竖向抗压承载力特征值应按公式(5.3.2)计算，其中α取1，</w:t>
      </w:r>
      <w:r>
        <w:rPr>
          <w:rFonts w:cs="Times New Roman"/>
          <w:iCs/>
          <w:position w:val="-12"/>
        </w:rPr>
        <w:object>
          <v:shape id="_x0000_i1058" o:spt="75" type="#_x0000_t75" style="height:16pt;width:15.5pt;" o:ole="t" filled="f" o:preferrelative="t" stroked="f" coordsize="21600,21600">
            <v:path/>
            <v:fill on="f" focussize="0,0"/>
            <v:stroke on="f" joinstyle="miter"/>
            <v:imagedata r:id="rId89" o:title=""/>
            <o:lock v:ext="edit" aspectratio="t"/>
            <w10:wrap type="none"/>
            <w10:anchorlock/>
          </v:shape>
          <o:OLEObject Type="Embed" ProgID="Equation.DSMT4" ShapeID="_x0000_i1058" DrawAspect="Content" ObjectID="_1468075758" r:id="rId88">
            <o:LockedField>false</o:LockedField>
          </o:OLEObject>
        </w:object>
      </w:r>
      <w:r>
        <w:rPr>
          <w:rFonts w:cs="Times New Roman"/>
          <w:iCs/>
        </w:rPr>
        <w:t>为第i层土的桩侧摩阻力特征值(kPa)，</w:t>
      </w:r>
      <w:r>
        <w:rPr>
          <w:rFonts w:cs="Times New Roman"/>
          <w:iCs/>
          <w:position w:val="-12"/>
        </w:rPr>
        <w:object>
          <v:shape id="_x0000_i1059" o:spt="75" type="#_x0000_t75" style="height:16pt;width:8.5pt;" o:ole="t" filled="f" o:preferrelative="t" stroked="f" coordsize="21600,21600">
            <v:path/>
            <v:fill on="f" focussize="0,0"/>
            <v:stroke on="f" joinstyle="miter"/>
            <v:imagedata r:id="rId91" o:title=""/>
            <o:lock v:ext="edit" aspectratio="t"/>
            <w10:wrap type="none"/>
            <w10:anchorlock/>
          </v:shape>
          <o:OLEObject Type="Embed" ProgID="Equation.DSMT4" ShapeID="_x0000_i1059" DrawAspect="Content" ObjectID="_1468075759" r:id="rId90">
            <o:LockedField>false</o:LockedField>
          </o:OLEObject>
        </w:object>
      </w:r>
      <w:r>
        <w:rPr>
          <w:rFonts w:cs="Times New Roman"/>
          <w:iCs/>
        </w:rPr>
        <w:t>为桩长范围内第i层土的厚度(m)。</w:t>
      </w:r>
    </w:p>
    <w:p>
      <w:pPr>
        <w:ind w:firstLine="480"/>
        <w:rPr>
          <w:rFonts w:cs="Times New Roman"/>
          <w:iCs/>
        </w:rPr>
      </w:pPr>
      <w:r>
        <w:rPr>
          <w:rFonts w:cs="Times New Roman"/>
          <w:iCs/>
        </w:rPr>
        <w:t>则桩体单桩竖向承载力特征值：</w:t>
      </w:r>
    </w:p>
    <w:p>
      <w:pPr>
        <w:tabs>
          <w:tab w:val="left" w:pos="312"/>
        </w:tabs>
        <w:spacing w:line="360" w:lineRule="auto"/>
        <w:ind w:firstLine="480"/>
        <w:jc w:val="center"/>
        <w:rPr>
          <w:rFonts w:cs="Times New Roman"/>
          <w:iCs/>
        </w:rPr>
      </w:pPr>
      <w:r>
        <w:rPr>
          <w:rFonts w:cs="Times New Roman"/>
          <w:position w:val="-54"/>
        </w:rPr>
        <w:object>
          <v:shape id="_x0000_i1060" o:spt="75" type="#_x0000_t75" style="height:60pt;width:307pt;" o:ole="t" filled="f" o:preferrelative="t" stroked="f" coordsize="21600,21600">
            <v:path/>
            <v:fill on="f" focussize="0,0"/>
            <v:stroke on="f" joinstyle="miter"/>
            <v:imagedata r:id="rId93" o:title=""/>
            <o:lock v:ext="edit" aspectratio="t"/>
            <w10:wrap type="none"/>
            <w10:anchorlock/>
          </v:shape>
          <o:OLEObject Type="Embed" ProgID="Equation.AxMath" ShapeID="_x0000_i1060" DrawAspect="Content" ObjectID="_1468075760" r:id="rId92">
            <o:LockedField>false</o:LockedField>
          </o:OLEObject>
        </w:object>
      </w:r>
    </w:p>
    <w:p>
      <w:pPr>
        <w:ind w:firstLine="480"/>
      </w:pPr>
      <w:r>
        <w:t xml:space="preserve">现场实际测得钢渣混凝土桩的单桩竖向抗压承载力特征值为500 </w:t>
      </w:r>
      <w:r>
        <w:rPr>
          <w:rFonts w:hint="eastAsia"/>
        </w:rPr>
        <w:t>k</w:t>
      </w:r>
      <w:r>
        <w:t xml:space="preserve">N，与规范公式求得的492.8 </w:t>
      </w:r>
      <w:r>
        <w:rPr>
          <w:rFonts w:hint="eastAsia"/>
        </w:rPr>
        <w:t>k</w:t>
      </w:r>
      <w:r>
        <w:t>N相差小，因此钢渣混凝土桩单桩承载能力与上式相匹配，该式可为钢渣混凝土单桩竖向抗压承载力估算提供参考。</w:t>
      </w:r>
    </w:p>
    <w:p>
      <w:pPr>
        <w:ind w:firstLine="480"/>
        <w:rPr>
          <w:position w:val="-42"/>
        </w:rPr>
      </w:pPr>
      <w:r>
        <w:rPr>
          <w:iCs/>
        </w:rPr>
        <w:t>已知桩间土承载力特征值取表层土承载力特征值</w:t>
      </w:r>
      <w:r>
        <w:rPr>
          <w:position w:val="-12"/>
        </w:rPr>
        <w:object>
          <v:shape id="_x0000_i1061" o:spt="75" type="#_x0000_t75" style="height:19pt;width:15.5pt;" o:ole="t" filled="f" o:preferrelative="t" stroked="f" coordsize="21600,21600">
            <v:path/>
            <v:fill on="f" focussize="0,0"/>
            <v:stroke on="f" joinstyle="miter"/>
            <v:imagedata r:id="rId95" o:title=""/>
            <o:lock v:ext="edit" aspectratio="t"/>
            <w10:wrap type="none"/>
            <w10:anchorlock/>
          </v:shape>
          <o:OLEObject Type="Embed" ProgID="Equation.DSMT4" ShapeID="_x0000_i1061" DrawAspect="Content" ObjectID="_1468075761" r:id="rId94">
            <o:LockedField>false</o:LockedField>
          </o:OLEObject>
        </w:object>
      </w:r>
      <w:r>
        <w:rPr>
          <w:iCs/>
        </w:rPr>
        <w:t>为175</w:t>
      </w:r>
      <w:r>
        <w:rPr>
          <w:rFonts w:hint="eastAsia"/>
          <w:iCs/>
        </w:rPr>
        <w:t xml:space="preserve"> </w:t>
      </w:r>
      <w:r>
        <w:rPr>
          <w:iCs/>
        </w:rPr>
        <w:t>kPa，钢渣混凝土桩的承载力特征值实测为493</w:t>
      </w:r>
      <w:r>
        <w:rPr>
          <w:rFonts w:hint="eastAsia"/>
          <w:iCs/>
        </w:rPr>
        <w:t xml:space="preserve"> </w:t>
      </w:r>
      <w:r>
        <w:rPr>
          <w:iCs/>
        </w:rPr>
        <w:t>kN，桩间土地基承载力修正系数根据钢渣混凝土混凝土较好的桩</w:t>
      </w:r>
      <w:r>
        <w:t>摩阻力特性，因此</w:t>
      </w:r>
      <w:r>
        <w:rPr>
          <w:iCs/>
          <w:position w:val="-12"/>
        </w:rPr>
        <w:object>
          <v:shape id="_x0000_i1062" o:spt="75" type="#_x0000_t75" style="height:16pt;width:14pt;" o:ole="t" filled="f" o:preferrelative="t" stroked="f" coordsize="21600,21600">
            <v:path/>
            <v:fill on="f" focussize="0,0"/>
            <v:stroke on="f" joinstyle="miter"/>
            <v:imagedata r:id="rId97" o:title=""/>
            <o:lock v:ext="edit" aspectratio="t"/>
            <w10:wrap type="none"/>
            <w10:anchorlock/>
          </v:shape>
          <o:OLEObject Type="Embed" ProgID="Equation.DSMT4" ShapeID="_x0000_i1062" DrawAspect="Content" ObjectID="_1468075762" r:id="rId96">
            <o:LockedField>false</o:LockedField>
          </o:OLEObject>
        </w:object>
      </w:r>
      <w:r>
        <w:rPr>
          <w:iCs/>
        </w:rPr>
        <w:t>取值0.8，桩体竖向抗压承载力修正系数</w:t>
      </w:r>
      <w:r>
        <w:rPr>
          <w:iCs/>
          <w:position w:val="-14"/>
        </w:rPr>
        <w:object>
          <v:shape id="_x0000_i1063" o:spt="75" type="#_x0000_t75" style="height:19pt;width:15.5pt;" o:ole="t" filled="f" o:preferrelative="t" stroked="f" coordsize="21600,21600">
            <v:path/>
            <v:fill on="f" focussize="0,0"/>
            <v:stroke on="f" joinstyle="miter"/>
            <v:imagedata r:id="rId99" o:title=""/>
            <o:lock v:ext="edit" aspectratio="t"/>
            <w10:wrap type="none"/>
            <w10:anchorlock/>
          </v:shape>
          <o:OLEObject Type="Embed" ProgID="Equation.DSMT4" ShapeID="_x0000_i1063" DrawAspect="Content" ObjectID="_1468075763" r:id="rId98">
            <o:LockedField>false</o:LockedField>
          </o:OLEObject>
        </w:object>
      </w:r>
      <w:r>
        <w:rPr>
          <w:iCs/>
        </w:rPr>
        <w:t>取1，由复合地基承载力特征值公式（5.3.1-1）得出。</w:t>
      </w:r>
    </w:p>
    <w:p>
      <w:pPr>
        <w:pStyle w:val="57"/>
        <w:jc w:val="center"/>
        <w:rPr>
          <w:color w:val="auto"/>
        </w:rPr>
      </w:pPr>
      <w:r>
        <w:rPr>
          <w:color w:val="auto"/>
          <w:position w:val="-50"/>
        </w:rPr>
        <w:object>
          <v:shape id="_x0000_i1064" o:spt="75" type="#_x0000_t75" style="height:56.5pt;width:307pt;" o:ole="t" filled="f" o:preferrelative="t" stroked="f" coordsize="21600,21600">
            <v:path/>
            <v:fill on="f" focussize="0,0"/>
            <v:stroke on="f" joinstyle="miter"/>
            <v:imagedata r:id="rId101" o:title=""/>
            <o:lock v:ext="edit" aspectratio="t"/>
            <w10:wrap type="none"/>
            <w10:anchorlock/>
          </v:shape>
          <o:OLEObject Type="Embed" ProgID="Equation.AxMath" ShapeID="_x0000_i1064" DrawAspect="Content" ObjectID="_1468075764" r:id="rId100">
            <o:LockedField>false</o:LockedField>
          </o:OLEObject>
        </w:object>
      </w:r>
    </w:p>
    <w:p>
      <w:pPr>
        <w:ind w:firstLine="480"/>
      </w:pPr>
      <w:r>
        <w:t>现场所测钢渣混凝土桩复合地基承载力特征值为360 kPa，与计算得出的363.3</w:t>
      </w:r>
      <w:r>
        <w:rPr>
          <w:rFonts w:hint="eastAsia"/>
        </w:rPr>
        <w:t xml:space="preserve"> </w:t>
      </w:r>
      <w:r>
        <w:t>kPa较为接近，因此桩间土地基承载力系数设定为0.8较合理。</w:t>
      </w:r>
    </w:p>
    <w:p>
      <w:pPr>
        <w:ind w:firstLine="0" w:firstLineChars="0"/>
      </w:pPr>
      <w:r>
        <w:rPr>
          <w:rFonts w:hint="eastAsia"/>
        </w:rPr>
        <w:t>6</w:t>
      </w:r>
      <w:r>
        <w:t xml:space="preserve">.3.4 </w:t>
      </w:r>
      <w:r>
        <w:rPr>
          <w:rFonts w:hint="eastAsia"/>
        </w:rPr>
        <w:t xml:space="preserve"> </w:t>
      </w:r>
      <w:r>
        <w:t>对钢渣复合地基软弱下卧层顶面处附加压力值</w:t>
      </w:r>
      <w:r>
        <w:rPr>
          <w:i/>
        </w:rPr>
        <w:t>p</w:t>
      </w:r>
      <w:r>
        <w:rPr>
          <w:i/>
          <w:vertAlign w:val="subscript"/>
        </w:rPr>
        <w:t>z</w:t>
      </w:r>
      <w:r>
        <w:t>宜采用等效实体法（见下图</w:t>
      </w:r>
      <w:r>
        <w:rPr>
          <w:rFonts w:hint="eastAsia"/>
        </w:rPr>
        <w:t>6</w:t>
      </w:r>
      <w:r>
        <w:t>.3.4），可按下式计算：</w:t>
      </w:r>
    </w:p>
    <w:p>
      <w:pPr>
        <w:tabs>
          <w:tab w:val="left" w:pos="312"/>
        </w:tabs>
        <w:spacing w:before="156" w:beforeLines="50" w:after="312" w:afterLines="100"/>
        <w:ind w:right="240" w:firstLine="0" w:firstLineChars="0"/>
        <w:jc w:val="right"/>
        <w:rPr>
          <w:rFonts w:cs="Times New Roman"/>
        </w:rPr>
      </w:pPr>
      <w:r>
        <w:rPr>
          <w:rFonts w:cs="Times New Roman"/>
          <w:position w:val="-25"/>
        </w:rPr>
        <w:object>
          <v:shape id="_x0000_i1065" o:spt="75" type="#_x0000_t75" style="height:31pt;width:161pt;" o:ole="t" filled="f" o:preferrelative="t" stroked="f" coordsize="21600,21600">
            <v:path/>
            <v:fill on="f" focussize="0,0"/>
            <v:stroke on="f" joinstyle="miter"/>
            <v:imagedata r:id="rId103" o:title=""/>
            <o:lock v:ext="edit" aspectratio="t"/>
            <w10:wrap type="none"/>
            <w10:anchorlock/>
          </v:shape>
          <o:OLEObject Type="Embed" ProgID="Equation.AxMath" ShapeID="_x0000_i1065" DrawAspect="Content" ObjectID="_1468075765" r:id="rId102">
            <o:LockedField>false</o:LockedField>
          </o:OLEObject>
        </w:object>
      </w:r>
      <w:r>
        <w:rPr>
          <w:rFonts w:cs="Times New Roman"/>
        </w:rPr>
        <w:t xml:space="preserve">  </w:t>
      </w:r>
      <w:r>
        <w:rPr>
          <w:rFonts w:hint="eastAsia" w:cs="Times New Roman"/>
        </w:rPr>
        <w:t xml:space="preserve">     </w:t>
      </w:r>
      <w:r>
        <w:rPr>
          <w:rFonts w:cs="Times New Roman"/>
        </w:rPr>
        <w:t xml:space="preserve">         （</w:t>
      </w:r>
      <w:r>
        <w:rPr>
          <w:rFonts w:hint="eastAsia" w:cs="Times New Roman"/>
        </w:rPr>
        <w:t>6</w:t>
      </w:r>
      <w:r>
        <w:rPr>
          <w:rFonts w:cs="Times New Roman"/>
        </w:rPr>
        <w:t>.3</w:t>
      </w:r>
      <w:r>
        <w:rPr>
          <w:rFonts w:hint="eastAsia" w:cs="Times New Roman"/>
        </w:rPr>
        <w:t>.4</w:t>
      </w:r>
      <w:r>
        <w:rPr>
          <w:rFonts w:cs="Times New Roman"/>
        </w:rPr>
        <w:t>）</w:t>
      </w:r>
    </w:p>
    <w:p>
      <w:pPr>
        <w:tabs>
          <w:tab w:val="left" w:pos="312"/>
        </w:tabs>
        <w:snapToGrid w:val="0"/>
        <w:ind w:firstLine="0" w:firstLineChars="0"/>
        <w:rPr>
          <w:rFonts w:cs="Times New Roman"/>
          <w:iCs/>
        </w:rPr>
      </w:pPr>
      <w:r>
        <w:rPr>
          <w:rFonts w:cs="Times New Roman"/>
          <w:iCs/>
        </w:rPr>
        <w:t>式中：</w:t>
      </w:r>
      <w:r>
        <w:rPr>
          <w:rFonts w:cs="Times New Roman"/>
          <w:i/>
        </w:rPr>
        <w:t>p</w:t>
      </w:r>
      <w:r>
        <w:rPr>
          <w:rFonts w:cs="Times New Roman"/>
          <w:i/>
          <w:vertAlign w:val="subscript"/>
        </w:rPr>
        <w:t>z</w:t>
      </w:r>
      <w:r>
        <w:rPr>
          <w:rFonts w:cs="Times New Roman"/>
          <w:iCs/>
        </w:rPr>
        <w:t>——荷载效应标准组合时，软弱下卧层顶面处的附加压力值（kPa）；</w:t>
      </w:r>
    </w:p>
    <w:p>
      <w:pPr>
        <w:ind w:firstLine="720" w:firstLineChars="300"/>
      </w:pPr>
      <w:r>
        <w:rPr>
          <w:i/>
        </w:rPr>
        <w:t>L</w:t>
      </w:r>
      <w:r>
        <w:t>——矩形基础底边的长度（m）；</w:t>
      </w:r>
    </w:p>
    <w:p>
      <w:pPr>
        <w:ind w:firstLine="720" w:firstLineChars="300"/>
      </w:pPr>
      <w:r>
        <w:rPr>
          <w:i/>
        </w:rPr>
        <w:t>B</w:t>
      </w:r>
      <w:r>
        <w:t>——矩形基础或条形基础底边的宽度（m）；</w:t>
      </w:r>
    </w:p>
    <w:p>
      <w:pPr>
        <w:ind w:firstLine="720" w:firstLineChars="300"/>
      </w:pPr>
      <w:r>
        <w:rPr>
          <w:i/>
        </w:rPr>
        <w:t>h</w:t>
      </w:r>
      <w:r>
        <w:t>——复合地基加固区的深度（m）；</w:t>
      </w:r>
    </w:p>
    <w:p>
      <w:pPr>
        <w:ind w:firstLine="720" w:firstLineChars="300"/>
      </w:pPr>
      <w:r>
        <w:rPr>
          <w:i/>
        </w:rPr>
        <w:t>a</w:t>
      </w:r>
      <w:r>
        <w:rPr>
          <w:vertAlign w:val="subscript"/>
        </w:rPr>
        <w:t>0</w:t>
      </w:r>
      <w:r>
        <w:t>——基础长度方向桩的外包尺寸（m）；</w:t>
      </w:r>
    </w:p>
    <w:p>
      <w:pPr>
        <w:ind w:firstLine="720" w:firstLineChars="300"/>
      </w:pPr>
      <w:r>
        <w:rPr>
          <w:i/>
        </w:rPr>
        <w:t>b</w:t>
      </w:r>
      <w:r>
        <w:rPr>
          <w:vertAlign w:val="subscript"/>
        </w:rPr>
        <w:t>0</w:t>
      </w:r>
      <w:r>
        <w:t>——基础宽度方向桩的外包尺寸（m）；</w:t>
      </w:r>
    </w:p>
    <w:p>
      <w:pPr>
        <w:ind w:firstLine="720" w:firstLineChars="300"/>
      </w:pPr>
      <w:r>
        <w:rPr>
          <w:i/>
        </w:rPr>
        <w:t>p</w:t>
      </w:r>
      <w:r>
        <w:rPr>
          <w:vertAlign w:val="subscript"/>
        </w:rPr>
        <w:t>0</w:t>
      </w:r>
      <w:r>
        <w:t>——复合地基加固区顶部的附加压力（kPa）；</w:t>
      </w:r>
    </w:p>
    <w:p>
      <w:pPr>
        <w:ind w:firstLine="679" w:firstLineChars="283"/>
      </w:pPr>
      <w:r>
        <w:rPr>
          <w:i/>
        </w:rPr>
        <w:t>f</w:t>
      </w:r>
      <w:r>
        <w:t>——复合地基加固区桩侧</w:t>
      </w:r>
      <w:r>
        <w:rPr>
          <w:rFonts w:hint="eastAsia"/>
        </w:rPr>
        <w:t>等效平均侧</w:t>
      </w:r>
      <w:r>
        <w:t>摩阻力（kPa）。</w:t>
      </w:r>
    </w:p>
    <w:p>
      <w:pPr>
        <w:tabs>
          <w:tab w:val="left" w:pos="312"/>
        </w:tabs>
        <w:snapToGrid w:val="0"/>
        <w:spacing w:before="3744" w:beforeLines="1200"/>
        <w:ind w:firstLine="480"/>
        <w:jc w:val="center"/>
        <w:rPr>
          <w:rFonts w:cs="Times New Roman"/>
        </w:rPr>
      </w:pPr>
      <w:r>
        <w:rPr>
          <w:rFonts w:cs="Times New Roman"/>
        </w:rPr>
        <mc:AlternateContent>
          <mc:Choice Requires="wps">
            <w:drawing>
              <wp:anchor distT="0" distB="0" distL="114300" distR="114300" simplePos="0" relativeHeight="251661312" behindDoc="0" locked="0" layoutInCell="1" allowOverlap="1">
                <wp:simplePos x="0" y="0"/>
                <wp:positionH relativeFrom="column">
                  <wp:posOffset>4243070</wp:posOffset>
                </wp:positionH>
                <wp:positionV relativeFrom="paragraph">
                  <wp:posOffset>998855</wp:posOffset>
                </wp:positionV>
                <wp:extent cx="153035" cy="835660"/>
                <wp:effectExtent l="0" t="0" r="0" b="2540"/>
                <wp:wrapNone/>
                <wp:docPr id="1605621435" name="文本框 1605621435"/>
                <wp:cNvGraphicFramePr/>
                <a:graphic xmlns:a="http://schemas.openxmlformats.org/drawingml/2006/main">
                  <a:graphicData uri="http://schemas.microsoft.com/office/word/2010/wordprocessingShape">
                    <wps:wsp>
                      <wps:cNvSpPr txBox="true"/>
                      <wps:spPr>
                        <a:xfrm>
                          <a:off x="0" y="0"/>
                          <a:ext cx="153035" cy="835660"/>
                        </a:xfrm>
                        <a:prstGeom prst="rect">
                          <a:avLst/>
                        </a:prstGeom>
                        <a:solidFill>
                          <a:srgbClr val="FFFFFF"/>
                        </a:solidFill>
                        <a:ln w="6350">
                          <a:noFill/>
                        </a:ln>
                        <a:effectLst/>
                      </wps:spPr>
                      <wps:txbx>
                        <w:txbxContent>
                          <w:p>
                            <w:pPr>
                              <w:ind w:firstLine="480"/>
                            </w:pPr>
                          </w:p>
                        </w:txbxContent>
                      </wps:txbx>
                      <wps:bodyPr rot="0" spcFirstLastPara="0" vertOverflow="overflow" horzOverflow="overflow" vert="eaVert"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334.1pt;margin-top:78.65pt;height:65.8pt;width:12.05pt;z-index:251661312;mso-width-relative:page;mso-height-relative:page;" fillcolor="#FFFFFF" filled="t" stroked="f" coordsize="21600,21600" o:gfxdata="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BYAAABkcnMvUEsBAhQAFAAAAAgAh07i&#10;QKAVLqfYAAAACwEAAA8AAAAAAAAAAQAgAAAAOAAAAGRycy9kb3ducmV2LnhtbFBLAQIUABQAAAAI&#10;AIdO4kABWZ4BSQIAAHQEAAAOAAAAAAAAAAEAIAAAAD0BAABkcnMvZTJvRG9jLnhtbFBLBQYAAAAA&#10;BgAGAFkBAAD4BQAAAAA=&#10;">
                <v:fill on="t" focussize="0,0"/>
                <v:stroke on="f" weight="0.5pt"/>
                <v:imagedata o:title=""/>
                <o:lock v:ext="edit" aspectratio="f"/>
                <v:textbox style="layout-flow:vertical-ideographic;">
                  <w:txbxContent>
                    <w:p>
                      <w:pPr>
                        <w:ind w:firstLine="480"/>
                      </w:pPr>
                    </w:p>
                  </w:txbxContent>
                </v:textbox>
              </v:shape>
            </w:pict>
          </mc:Fallback>
        </mc:AlternateContent>
      </w:r>
      <w:r>
        <w:rPr>
          <w:rFonts w:cs="Times New Roman"/>
        </w:rPr>
        <mc:AlternateContent>
          <mc:Choice Requires="wps">
            <w:drawing>
              <wp:anchor distT="0" distB="0" distL="114300" distR="114300" simplePos="0" relativeHeight="251660288" behindDoc="0" locked="0" layoutInCell="1" allowOverlap="1">
                <wp:simplePos x="0" y="0"/>
                <wp:positionH relativeFrom="column">
                  <wp:posOffset>3164205</wp:posOffset>
                </wp:positionH>
                <wp:positionV relativeFrom="paragraph">
                  <wp:posOffset>1856740</wp:posOffset>
                </wp:positionV>
                <wp:extent cx="1185545" cy="241300"/>
                <wp:effectExtent l="0" t="0" r="0" b="6350"/>
                <wp:wrapNone/>
                <wp:docPr id="1297575511" name="文本框 1297575511"/>
                <wp:cNvGraphicFramePr/>
                <a:graphic xmlns:a="http://schemas.openxmlformats.org/drawingml/2006/main">
                  <a:graphicData uri="http://schemas.microsoft.com/office/word/2010/wordprocessingShape">
                    <wps:wsp>
                      <wps:cNvSpPr txBox="true"/>
                      <wps:spPr>
                        <a:xfrm>
                          <a:off x="0" y="0"/>
                          <a:ext cx="1185545" cy="241300"/>
                        </a:xfrm>
                        <a:prstGeom prst="rect">
                          <a:avLst/>
                        </a:prstGeom>
                        <a:solidFill>
                          <a:srgbClr val="FFFFFF"/>
                        </a:solidFill>
                        <a:ln w="6350">
                          <a:noFill/>
                        </a:ln>
                        <a:effectLst/>
                      </wps:spPr>
                      <wps:txbx>
                        <w:txbxContent>
                          <w:p>
                            <w:pPr>
                              <w:ind w:firstLine="480"/>
                            </w:pP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249.15pt;margin-top:146.2pt;height:19pt;width:93.35pt;z-index:251660288;mso-width-relative:page;mso-height-relative:page;" fillcolor="#FFFFFF" filled="t" stroked="f" coordsize="21600,21600" o:gfxdata="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BYAAABkcnMvUEsBAhQAFAAAAAgAh07i&#10;QNFwwqXXAAAACwEAAA8AAAAAAAAAAQAgAAAAOAAAAGRycy9kb3ducmV2LnhtbFBLAQIUABQAAAAI&#10;AIdO4kB2XHyxSgIAAHMEAAAOAAAAAAAAAAEAIAAAADwBAABkcnMvZTJvRG9jLnhtbFBLBQYAAAAA&#10;BgAGAFkBAAD4BQAAAAA=&#10;">
                <v:fill on="t" focussize="0,0"/>
                <v:stroke on="f" weight="0.5pt"/>
                <v:imagedata o:title=""/>
                <o:lock v:ext="edit" aspectratio="f"/>
                <v:textbox>
                  <w:txbxContent>
                    <w:p>
                      <w:pPr>
                        <w:ind w:firstLine="480"/>
                      </w:pPr>
                    </w:p>
                  </w:txbxContent>
                </v:textbox>
              </v:shape>
            </w:pict>
          </mc:Fallback>
        </mc:AlternateContent>
      </w:r>
      <w:r>
        <w:rPr>
          <w:rFonts w:cs="Times New Roman"/>
        </w:rPr>
        <w:drawing>
          <wp:inline distT="0" distB="0" distL="114300" distR="114300">
            <wp:extent cx="3475990" cy="2458085"/>
            <wp:effectExtent l="0" t="0" r="0" b="0"/>
            <wp:docPr id="171464687" name="图片 14" descr="IMG_25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71464687" name="图片 14" descr="IMG_256"/>
                    <pic:cNvPicPr>
                      <a:picLocks noChangeAspect="true"/>
                    </pic:cNvPicPr>
                  </pic:nvPicPr>
                  <pic:blipFill>
                    <a:blip r:embed="rId104"/>
                    <a:stretch>
                      <a:fillRect/>
                    </a:stretch>
                  </pic:blipFill>
                  <pic:spPr>
                    <a:xfrm>
                      <a:off x="0" y="0"/>
                      <a:ext cx="3494936" cy="2471467"/>
                    </a:xfrm>
                    <a:prstGeom prst="rect">
                      <a:avLst/>
                    </a:prstGeom>
                    <a:noFill/>
                    <a:ln w="9525">
                      <a:noFill/>
                    </a:ln>
                  </pic:spPr>
                </pic:pic>
              </a:graphicData>
            </a:graphic>
          </wp:inline>
        </w:drawing>
      </w:r>
    </w:p>
    <w:p>
      <w:pPr>
        <w:pStyle w:val="11"/>
      </w:pPr>
      <w:r>
        <w:rPr>
          <w:rFonts w:hint="eastAsia"/>
        </w:rPr>
        <w:t>图6.3.4  等效实体法计算</w:t>
      </w:r>
    </w:p>
    <w:p>
      <w:pPr>
        <w:ind w:firstLine="480"/>
      </w:pPr>
      <w:r>
        <w:t>软土的触变性和固结效应影响钢渣混凝土桩复合地基承载力的关键因素。软土的触变性会导致桩土共同作用时，土体变形会随时间逐步增大，这可能影响地基承载力的稳定性。同时，软土在长期荷载作用下会发生固结，导致沉降逐渐增大，进而影响承载力的发挥。因此，触变性和固结效应的影响必须在承载力计算时考虑，通过引入修正系数进行调整，软土触变性可提高后期承载力，软土固结可增大后期沉降值，并降低复合地基和桩的承载力，特殊条件下软土固结可能产生负摩擦力。因此，</w:t>
      </w:r>
      <w:r>
        <w:rPr>
          <w:i/>
          <w:iCs/>
        </w:rPr>
        <w:t>α</w:t>
      </w:r>
      <w:r>
        <w:rPr>
          <w:vertAlign w:val="subscript"/>
        </w:rPr>
        <w:t>t</w:t>
      </w:r>
      <w:r>
        <w:t>取值大于1，</w:t>
      </w:r>
      <w:r>
        <w:rPr>
          <w:i/>
          <w:iCs/>
        </w:rPr>
        <w:t>α</w:t>
      </w:r>
      <w:r>
        <w:rPr>
          <w:vertAlign w:val="subscript"/>
        </w:rPr>
        <w:t>s</w:t>
      </w:r>
      <w:r>
        <w:t>取值小于1。</w:t>
      </w:r>
    </w:p>
    <w:p>
      <w:pPr>
        <w:pStyle w:val="3"/>
      </w:pPr>
      <w:bookmarkStart w:id="285" w:name="_Toc213663407"/>
      <w:bookmarkStart w:id="286" w:name="_Toc213690097"/>
      <w:bookmarkStart w:id="287" w:name="_Toc213773568"/>
      <w:bookmarkStart w:id="288" w:name="_Toc213690396"/>
      <w:bookmarkStart w:id="289" w:name="_Toc213257679"/>
      <w:bookmarkStart w:id="290" w:name="_Toc213663166"/>
      <w:bookmarkStart w:id="291" w:name="_Toc213271669"/>
      <w:bookmarkStart w:id="292" w:name="_Toc213662972"/>
      <w:r>
        <w:rPr>
          <w:rFonts w:hint="eastAsia"/>
        </w:rPr>
        <w:t>6</w:t>
      </w:r>
      <w:r>
        <w:t>.4  变形计算</w:t>
      </w:r>
      <w:bookmarkEnd w:id="285"/>
      <w:bookmarkEnd w:id="286"/>
      <w:bookmarkEnd w:id="287"/>
      <w:bookmarkEnd w:id="288"/>
      <w:bookmarkEnd w:id="289"/>
      <w:bookmarkEnd w:id="290"/>
      <w:bookmarkEnd w:id="291"/>
      <w:bookmarkEnd w:id="292"/>
    </w:p>
    <w:p>
      <w:pPr>
        <w:ind w:firstLine="0" w:firstLineChars="0"/>
        <w:rPr>
          <w:rFonts w:cs="Times New Roman"/>
        </w:rPr>
      </w:pPr>
      <w:r>
        <w:rPr>
          <w:rFonts w:hint="eastAsia" w:cs="Times New Roman"/>
        </w:rPr>
        <w:t>6</w:t>
      </w:r>
      <w:r>
        <w:rPr>
          <w:rFonts w:cs="Times New Roman"/>
        </w:rPr>
        <w:t>.4.1</w:t>
      </w:r>
      <w:r>
        <w:rPr>
          <w:rFonts w:hint="eastAsia" w:cs="Times New Roman"/>
        </w:rPr>
        <w:t xml:space="preserve">  </w:t>
      </w:r>
      <w:r>
        <w:rPr>
          <w:rFonts w:cs="Times New Roman"/>
        </w:rPr>
        <w:t>钢渣混凝土桩复合地基的地基变形计算深度应大于复合土层的厚度，并符合现行国家标准《建筑地基基础设计规范》GB50007中地基变形计算深度的有关规定。</w:t>
      </w:r>
    </w:p>
    <w:p>
      <w:pPr>
        <w:ind w:firstLine="480"/>
        <w:rPr>
          <w:rFonts w:cs="Times New Roman"/>
        </w:rPr>
      </w:pPr>
      <w:r>
        <w:rPr>
          <w:rFonts w:cs="Times New Roman"/>
        </w:rPr>
        <w:t>复合地基变形计算过程中，在复合土层范围内，复合压缩模量很高时，可能满足《建筑地基基础设计规范》GB50007中沉降计算深度公式要求，如下：</w:t>
      </w:r>
    </w:p>
    <w:p>
      <w:pPr>
        <w:spacing w:line="240" w:lineRule="auto"/>
        <w:ind w:firstLine="0" w:firstLineChars="0"/>
        <w:jc w:val="right"/>
        <w:rPr>
          <w:rFonts w:cs="Times New Roman"/>
        </w:rPr>
      </w:pPr>
      <w:r>
        <w:rPr>
          <w:rFonts w:cs="Times New Roman"/>
          <w:position w:val="-15"/>
        </w:rPr>
        <w:object>
          <v:shape id="_x0000_i1066" o:spt="75" type="#_x0000_t75" style="height:21.5pt;width:116pt;" o:ole="t" filled="f" o:preferrelative="t" stroked="f" coordsize="21600,21600">
            <v:path/>
            <v:fill on="f" focussize="0,0"/>
            <v:stroke on="f" joinstyle="miter"/>
            <v:imagedata r:id="rId106" o:title=""/>
            <o:lock v:ext="edit" aspectratio="t"/>
            <w10:wrap type="none"/>
            <w10:anchorlock/>
          </v:shape>
          <o:OLEObject Type="Embed" ProgID="Equation.AxMath" ShapeID="_x0000_i1066" DrawAspect="Content" ObjectID="_1468075766" r:id="rId105">
            <o:LockedField>false</o:LockedField>
          </o:OLEObject>
        </w:object>
      </w:r>
      <w:r>
        <w:rPr>
          <w:rFonts w:hint="eastAsia" w:cs="Times New Roman"/>
        </w:rPr>
        <w:t xml:space="preserve"> </w:t>
      </w:r>
      <w:r>
        <w:rPr>
          <w:rFonts w:cs="Times New Roman"/>
        </w:rPr>
        <w:t xml:space="preserve">                 （</w:t>
      </w:r>
      <w:r>
        <w:rPr>
          <w:rFonts w:hint="eastAsia" w:cs="Times New Roman"/>
        </w:rPr>
        <w:t>6</w:t>
      </w:r>
      <w:r>
        <w:rPr>
          <w:rFonts w:cs="Times New Roman"/>
        </w:rPr>
        <w:t>.4</w:t>
      </w:r>
      <w:r>
        <w:rPr>
          <w:rFonts w:hint="eastAsia" w:cs="Times New Roman"/>
        </w:rPr>
        <w:t>.1</w:t>
      </w:r>
      <w:r>
        <w:rPr>
          <w:rFonts w:cs="Times New Roman"/>
        </w:rPr>
        <w:t>）</w:t>
      </w:r>
    </w:p>
    <w:p>
      <w:pPr>
        <w:ind w:firstLine="480"/>
        <w:rPr>
          <w:position w:val="-42"/>
        </w:rPr>
      </w:pPr>
      <w:r>
        <w:rPr>
          <w:rFonts w:cs="Times New Roman"/>
        </w:rPr>
        <w:t>若计算到此为止，</w:t>
      </w:r>
      <w:r>
        <w:rPr>
          <w:rFonts w:hint="eastAsia" w:cs="Times New Roman"/>
        </w:rPr>
        <w:t>会缺少</w:t>
      </w:r>
      <w:r>
        <w:rPr>
          <w:rFonts w:cs="Times New Roman"/>
        </w:rPr>
        <w:t>桩端以下土层的变形量，因此变形计算深度必须大于复合土层深度。</w:t>
      </w:r>
      <w:r>
        <w:rPr>
          <w:position w:val="-42"/>
        </w:rPr>
        <w:t xml:space="preserve"> </w:t>
      </w:r>
    </w:p>
    <w:p>
      <w:pPr>
        <w:ind w:firstLine="0" w:firstLineChars="0"/>
      </w:pPr>
      <w:r>
        <w:rPr>
          <w:rFonts w:hint="eastAsia"/>
        </w:rPr>
        <w:t>6</w:t>
      </w:r>
      <w:r>
        <w:t>.4.2</w:t>
      </w:r>
      <w:r>
        <w:rPr>
          <w:rFonts w:hint="eastAsia"/>
        </w:rPr>
        <w:t xml:space="preserve">  </w:t>
      </w:r>
      <w:r>
        <w:t>钢渣混凝土桩复合地基沉降计算方法，各地可根据地区土的工程特性、工法试验结果以及工程经验，采用适宜的方法，以积累工程经验。本规范提出以分层总和法为基础的计算方法。变形经验系数</w:t>
      </w:r>
      <w:r>
        <w:rPr>
          <w:position w:val="-12"/>
          <w:sz w:val="21"/>
        </w:rPr>
        <w:object>
          <v:shape id="_x0000_i1067" o:spt="75" type="#_x0000_t75" style="height:19pt;width:15.5pt;" o:ole="t" filled="f" o:preferrelative="t" stroked="f" coordsize="21600,21600">
            <v:path/>
            <v:fill on="f" focussize="0,0"/>
            <v:stroke on="f" joinstyle="miter"/>
            <v:imagedata r:id="rId108" o:title=""/>
            <o:lock v:ext="edit" aspectratio="t"/>
            <w10:wrap type="none"/>
            <w10:anchorlock/>
          </v:shape>
          <o:OLEObject Type="Embed" ProgID="Equation.3" ShapeID="_x0000_i1067" DrawAspect="Content" ObjectID="_1468075767" r:id="rId107">
            <o:LockedField>false</o:LockedField>
          </o:OLEObject>
        </w:object>
      </w:r>
      <w:r>
        <w:t>对不同地区可根据沉降观测资料及经验确定，也可按表</w:t>
      </w:r>
      <w:r>
        <w:rPr>
          <w:rFonts w:hint="eastAsia"/>
        </w:rPr>
        <w:t>6</w:t>
      </w:r>
      <w:r>
        <w:t>.4.2确定。表中数值取自现行行业标准《建筑地基处理计算规范》JGJ79表7.1.8。</w:t>
      </w:r>
    </w:p>
    <w:p>
      <w:pPr>
        <w:ind w:firstLine="480"/>
      </w:pPr>
    </w:p>
    <w:p>
      <w:pPr>
        <w:ind w:firstLine="480"/>
        <w:sectPr>
          <w:pgSz w:w="11906" w:h="16838"/>
          <w:pgMar w:top="1440" w:right="1800" w:bottom="1440" w:left="1800" w:header="851" w:footer="992" w:gutter="0"/>
          <w:cols w:space="425" w:num="1"/>
          <w:docGrid w:type="lines" w:linePitch="312" w:charSpace="0"/>
        </w:sectPr>
      </w:pPr>
    </w:p>
    <w:p>
      <w:pPr>
        <w:pStyle w:val="2"/>
      </w:pPr>
      <w:bookmarkStart w:id="293" w:name="_Toc213773569"/>
      <w:bookmarkStart w:id="294" w:name="_Toc213663408"/>
      <w:bookmarkStart w:id="295" w:name="_Toc213663167"/>
      <w:bookmarkStart w:id="296" w:name="_Toc213662973"/>
      <w:bookmarkStart w:id="297" w:name="_Toc213690098"/>
      <w:bookmarkStart w:id="298" w:name="_Toc213690397"/>
      <w:r>
        <w:rPr>
          <w:rFonts w:hint="eastAsia"/>
        </w:rPr>
        <w:t>7  施工</w:t>
      </w:r>
      <w:bookmarkEnd w:id="293"/>
      <w:bookmarkEnd w:id="294"/>
      <w:bookmarkEnd w:id="295"/>
      <w:bookmarkEnd w:id="296"/>
      <w:bookmarkEnd w:id="297"/>
      <w:bookmarkEnd w:id="298"/>
    </w:p>
    <w:p>
      <w:pPr>
        <w:ind w:firstLine="0" w:firstLineChars="0"/>
      </w:pPr>
      <w:r>
        <w:rPr>
          <w:rFonts w:hint="eastAsia" w:cs="Times New Roman"/>
        </w:rPr>
        <w:t>7</w:t>
      </w:r>
      <w:r>
        <w:rPr>
          <w:rFonts w:cs="Times New Roman"/>
        </w:rPr>
        <w:t>.3.1</w:t>
      </w:r>
      <w:r>
        <w:rPr>
          <w:rFonts w:ascii="Calibri" w:hAnsi="Calibri" w:cs="Calibri"/>
        </w:rPr>
        <w:t xml:space="preserve"> </w:t>
      </w:r>
      <w:r>
        <w:rPr>
          <w:rFonts w:hint="eastAsia" w:ascii="Calibri" w:hAnsi="Calibri" w:cs="Calibri"/>
        </w:rPr>
        <w:t xml:space="preserve"> </w:t>
      </w:r>
      <w:r>
        <w:t>多点振动</w:t>
      </w:r>
      <w:r>
        <w:rPr>
          <w:rFonts w:hint="eastAsia"/>
        </w:rPr>
        <w:t>施工工艺</w:t>
      </w:r>
      <w:r>
        <w:t>是近年来在</w:t>
      </w:r>
      <w:r>
        <w:rPr>
          <w:rFonts w:hint="eastAsia"/>
        </w:rPr>
        <w:t>河北</w:t>
      </w:r>
      <w:r>
        <w:t>省沿海兴起的一种地基处理</w:t>
      </w:r>
      <w:r>
        <w:rPr>
          <w:rFonts w:hint="eastAsia"/>
        </w:rPr>
        <w:t>施工</w:t>
      </w:r>
      <w:r>
        <w:t>方法。</w:t>
      </w:r>
      <w:r>
        <w:rPr>
          <w:rFonts w:hint="eastAsia"/>
        </w:rPr>
        <w:t>适用于</w:t>
      </w:r>
      <w:r>
        <w:t>处理杂填土、素填土、吹填土、砂土及粉土等软弱地基，对于消除或减轻饱和砂土、粉土的液化影响，</w:t>
      </w:r>
      <w:r>
        <w:rPr>
          <w:rFonts w:hint="eastAsia"/>
        </w:rPr>
        <w:t>提高地基承载力具有显著效果。</w:t>
      </w:r>
      <w:r>
        <w:t>在总结</w:t>
      </w:r>
      <w:r>
        <w:rPr>
          <w:rFonts w:hint="eastAsia"/>
        </w:rPr>
        <w:t>已有</w:t>
      </w:r>
      <w:r>
        <w:t>经验</w:t>
      </w:r>
      <w:r>
        <w:rPr>
          <w:rFonts w:hint="eastAsia"/>
        </w:rPr>
        <w:t>的</w:t>
      </w:r>
      <w:r>
        <w:t>基础上，河北省形成了地标《多点振动微型挤密桩复合地基技术规程》（DB13(J)/T 8317）。</w:t>
      </w:r>
    </w:p>
    <w:p>
      <w:pPr>
        <w:ind w:firstLine="480"/>
      </w:pPr>
      <w:r>
        <w:rPr>
          <w:rFonts w:hint="eastAsia"/>
        </w:rPr>
        <w:t>该工艺</w:t>
      </w:r>
      <w:r>
        <w:t>是利用高频设备振动挤密形成桩孔，</w:t>
      </w:r>
      <w:r>
        <w:rPr>
          <w:rFonts w:hint="eastAsia"/>
        </w:rPr>
        <w:t>在</w:t>
      </w:r>
      <w:r>
        <w:t>对土体进行振动</w:t>
      </w:r>
      <w:r>
        <w:rPr>
          <w:rFonts w:hint="eastAsia"/>
        </w:rPr>
        <w:t>加密的</w:t>
      </w:r>
      <w:r>
        <w:t>同时将两根或两根以上钢管同时插入至地层设计深度，制成两根或两根以上的挤密桩。实现了小置换率、高应力处理效应，使土体快速压缩和高效固结，大幅提高地基承载力特征值。</w:t>
      </w:r>
      <w:r>
        <w:rPr>
          <w:rFonts w:hint="eastAsia"/>
        </w:rPr>
        <w:t>该工艺</w:t>
      </w:r>
      <w:r>
        <w:t>源于挤密砂桩复合地基技术，孔内填入骨料</w:t>
      </w:r>
      <w:r>
        <w:rPr>
          <w:rFonts w:cs="Times New Roman"/>
        </w:rPr>
        <w:t>(</w:t>
      </w:r>
      <w:r>
        <w:t>如尾矿砂、吹填砂、矿渣、钢渣、混凝土拌合物等</w:t>
      </w:r>
      <w:r>
        <w:rPr>
          <w:rFonts w:cs="Times New Roman"/>
        </w:rPr>
        <w:t>)</w:t>
      </w:r>
      <w:r>
        <w:t>形成</w:t>
      </w:r>
      <w:r>
        <w:rPr>
          <w:rFonts w:hint="eastAsia"/>
        </w:rPr>
        <w:t>桩身结构</w:t>
      </w:r>
      <w:r>
        <w:t>，桩和桩间土共同组成复合地基</w:t>
      </w:r>
      <w:r>
        <w:rPr>
          <w:rFonts w:hint="eastAsia"/>
        </w:rPr>
        <w:t>，该工艺在多个项目取得了较好的应用效果。</w:t>
      </w:r>
    </w:p>
    <w:p>
      <w:pPr>
        <w:ind w:firstLine="0" w:firstLineChars="0"/>
      </w:pPr>
      <w:r>
        <w:rPr>
          <w:rFonts w:hint="eastAsia"/>
        </w:rPr>
        <w:t xml:space="preserve">7.3.2  </w:t>
      </w:r>
      <w:r>
        <w:t>对于充盈系数小于1.0的桩</w:t>
      </w:r>
      <w:r>
        <w:rPr>
          <w:rFonts w:hint="eastAsia"/>
        </w:rPr>
        <w:t>或者充盈系数不满足设计要求时</w:t>
      </w:r>
      <w:r>
        <w:t>，可采用复打的方式进行</w:t>
      </w:r>
      <w:r>
        <w:rPr>
          <w:rFonts w:hint="eastAsia"/>
        </w:rPr>
        <w:t>原位</w:t>
      </w:r>
      <w:r>
        <w:t>处理；对存在断桩或缩颈等问题的桩，可采用局部复打的处理方式。全长复打时，桩管入土深度宜接近原桩长，局部复打时应超过断桩或缩颈位置。</w:t>
      </w:r>
    </w:p>
    <w:p>
      <w:pPr>
        <w:ind w:firstLine="0" w:firstLineChars="0"/>
      </w:pPr>
      <w:r>
        <w:rPr>
          <w:rFonts w:hint="eastAsia"/>
        </w:rPr>
        <w:t>7.4.1  长螺旋钻孔压灌成桩，对含有卵石夹层场地，宜通过现场试验确定其适用性。国内已有类似工程卵石粒径不大于60 mm，卵石层厚度不大于4 m，卵石含量不大于30%，采用长螺旋钻施工工艺并取得了成功。城区施工对噪声或泥浆污染要求严格时，可优先选用该工法。</w:t>
      </w:r>
    </w:p>
    <w:p>
      <w:pPr>
        <w:ind w:firstLine="0" w:firstLineChars="0"/>
      </w:pPr>
    </w:p>
    <w:p>
      <w:pPr>
        <w:ind w:firstLine="0" w:firstLineChars="0"/>
        <w:sectPr>
          <w:pgSz w:w="11906" w:h="16838"/>
          <w:pgMar w:top="1440" w:right="1800" w:bottom="1440" w:left="1800" w:header="851" w:footer="992" w:gutter="0"/>
          <w:cols w:space="425" w:num="1"/>
          <w:docGrid w:type="lines" w:linePitch="312" w:charSpace="0"/>
        </w:sectPr>
      </w:pPr>
    </w:p>
    <w:p>
      <w:pPr>
        <w:pStyle w:val="2"/>
      </w:pPr>
      <w:bookmarkStart w:id="299" w:name="_Toc213690099"/>
      <w:bookmarkStart w:id="300" w:name="_Toc213690398"/>
      <w:bookmarkStart w:id="301" w:name="_Toc213773570"/>
      <w:bookmarkStart w:id="302" w:name="_Toc213662974"/>
      <w:bookmarkStart w:id="303" w:name="_Toc213663168"/>
      <w:bookmarkStart w:id="304" w:name="_Toc213663409"/>
      <w:r>
        <w:rPr>
          <w:rFonts w:hint="eastAsia"/>
        </w:rPr>
        <w:t>8  质量检测与验收</w:t>
      </w:r>
      <w:bookmarkEnd w:id="299"/>
      <w:bookmarkEnd w:id="300"/>
      <w:bookmarkEnd w:id="301"/>
      <w:bookmarkEnd w:id="302"/>
      <w:bookmarkEnd w:id="303"/>
      <w:bookmarkEnd w:id="304"/>
    </w:p>
    <w:p>
      <w:pPr>
        <w:pStyle w:val="3"/>
      </w:pPr>
      <w:bookmarkStart w:id="305" w:name="_Toc213690100"/>
      <w:bookmarkStart w:id="306" w:name="_Toc213690399"/>
      <w:bookmarkStart w:id="307" w:name="_Toc213773571"/>
      <w:bookmarkStart w:id="308" w:name="_Toc213663169"/>
      <w:bookmarkStart w:id="309" w:name="_Toc213663410"/>
      <w:bookmarkStart w:id="310" w:name="_Toc213662975"/>
      <w:r>
        <w:rPr>
          <w:rFonts w:hint="eastAsia"/>
        </w:rPr>
        <w:t>8</w:t>
      </w:r>
      <w:r>
        <w:t>.1</w:t>
      </w:r>
      <w:r>
        <w:rPr>
          <w:rFonts w:hint="eastAsia"/>
        </w:rPr>
        <w:t xml:space="preserve"> </w:t>
      </w:r>
      <w:r>
        <w:t xml:space="preserve"> 一般规定‌</w:t>
      </w:r>
      <w:bookmarkEnd w:id="305"/>
      <w:bookmarkEnd w:id="306"/>
      <w:bookmarkEnd w:id="307"/>
      <w:bookmarkEnd w:id="308"/>
      <w:bookmarkEnd w:id="309"/>
      <w:bookmarkEnd w:id="310"/>
    </w:p>
    <w:p>
      <w:pPr>
        <w:ind w:firstLine="0" w:firstLineChars="0"/>
      </w:pPr>
      <w:r>
        <w:rPr>
          <w:rFonts w:hint="eastAsia"/>
        </w:rPr>
        <w:t>8</w:t>
      </w:r>
      <w:r>
        <w:t xml:space="preserve">.1.1 </w:t>
      </w:r>
      <w:r>
        <w:rPr>
          <w:rFonts w:hint="eastAsia"/>
        </w:rPr>
        <w:t xml:space="preserve"> </w:t>
      </w:r>
      <w:r>
        <w:t>适用范围‌</w:t>
      </w:r>
    </w:p>
    <w:p>
      <w:pPr>
        <w:ind w:firstLine="480"/>
      </w:pPr>
      <w:r>
        <w:t>本条款明确了钢渣混凝土桩工程验收的质量检测要求，主要针对：</w:t>
      </w:r>
    </w:p>
    <w:p>
      <w:pPr>
        <w:ind w:firstLine="480"/>
      </w:pPr>
      <w:r>
        <w:t>新建工程中采用钢渣混凝土桩作为地基处理措施的验收检测</w:t>
      </w:r>
      <w:r>
        <w:rPr>
          <w:rFonts w:hint="eastAsia"/>
        </w:rPr>
        <w:t>，</w:t>
      </w:r>
      <w:r>
        <w:t>改建、扩建工程中涉及钢渣混凝土桩的质量评定</w:t>
      </w:r>
      <w:r>
        <w:rPr>
          <w:rFonts w:hint="eastAsia"/>
        </w:rPr>
        <w:t>；</w:t>
      </w:r>
      <w:r>
        <w:t>既有建筑地基加固或补强处理的质量控制</w:t>
      </w:r>
      <w:r>
        <w:rPr>
          <w:rFonts w:hint="eastAsia"/>
        </w:rPr>
        <w:t>。</w:t>
      </w:r>
      <w:r>
        <w:t>特殊情况下，如地震区、湿陷性黄土地区等特殊地质条件，应根据工程实际情况制定专项检测方案。</w:t>
      </w:r>
    </w:p>
    <w:p>
      <w:pPr>
        <w:ind w:firstLine="0" w:firstLineChars="0"/>
      </w:pPr>
      <w:r>
        <w:rPr>
          <w:rFonts w:hint="eastAsia"/>
        </w:rPr>
        <w:t>8</w:t>
      </w:r>
      <w:r>
        <w:t xml:space="preserve">.1.2 </w:t>
      </w:r>
      <w:r>
        <w:rPr>
          <w:rFonts w:hint="eastAsia"/>
        </w:rPr>
        <w:t xml:space="preserve"> </w:t>
      </w:r>
      <w:r>
        <w:t>检测方法选择‌</w:t>
      </w:r>
    </w:p>
    <w:p>
      <w:pPr>
        <w:ind w:firstLine="480"/>
      </w:pPr>
      <w:r>
        <w:t>复合地基检测‌重点在于验证钢渣混凝土桩与土体共同作用的整体性能，浅层平板载荷试验因其结果直观可靠而作为首选方法。对于</w:t>
      </w:r>
      <w:r>
        <w:rPr>
          <w:rFonts w:hint="eastAsia"/>
        </w:rPr>
        <w:t>其它原位测试方法需要有可靠的对比验证资料</w:t>
      </w:r>
      <w:r>
        <w:t>综合分析。</w:t>
      </w:r>
    </w:p>
    <w:p>
      <w:pPr>
        <w:ind w:firstLine="480"/>
      </w:pPr>
      <w:r>
        <w:t>基桩检测‌需根据检测目的合理选择：</w:t>
      </w:r>
    </w:p>
    <w:p>
      <w:pPr>
        <w:ind w:firstLine="480"/>
      </w:pPr>
      <w:r>
        <w:t>桩身完整性检测‌：钻芯法（直观但成本高）、高应变法（可同时检测承载力）、低应变法（经济快速）</w:t>
      </w:r>
      <w:r>
        <w:rPr>
          <w:rFonts w:hint="eastAsia"/>
        </w:rPr>
        <w:t>。</w:t>
      </w:r>
    </w:p>
    <w:p>
      <w:pPr>
        <w:ind w:firstLine="480"/>
      </w:pPr>
      <w:r>
        <w:t>承载力检测‌：静载试验（结果最可靠）、高应变法（间接推定）</w:t>
      </w:r>
      <w:r>
        <w:rPr>
          <w:rFonts w:hint="eastAsia"/>
        </w:rPr>
        <w:t>。</w:t>
      </w:r>
    </w:p>
    <w:p>
      <w:pPr>
        <w:ind w:firstLine="0" w:firstLineChars="0"/>
      </w:pPr>
      <w:r>
        <w:rPr>
          <w:rFonts w:hint="eastAsia"/>
        </w:rPr>
        <w:t>8</w:t>
      </w:r>
      <w:r>
        <w:t>.1.3-</w:t>
      </w:r>
      <w:r>
        <w:rPr>
          <w:rFonts w:hint="eastAsia"/>
        </w:rPr>
        <w:t>8</w:t>
      </w:r>
      <w:r>
        <w:t xml:space="preserve">.1.5 </w:t>
      </w:r>
      <w:r>
        <w:rPr>
          <w:rFonts w:hint="eastAsia"/>
        </w:rPr>
        <w:t xml:space="preserve"> </w:t>
      </w:r>
      <w:r>
        <w:t>检测程序与方案‌</w:t>
      </w:r>
    </w:p>
    <w:p>
      <w:pPr>
        <w:ind w:firstLine="480"/>
      </w:pPr>
      <w:r>
        <w:t>检测工作应严格按照"调查准备→制定方案→现场检测→结果评定→报告编制"的程序执行。检测方案必须详细考虑以下因素：</w:t>
      </w:r>
    </w:p>
    <w:p>
      <w:pPr>
        <w:ind w:firstLine="480"/>
      </w:pPr>
      <w:r>
        <w:t>工程地质条件的复杂性</w:t>
      </w:r>
      <w:r>
        <w:rPr>
          <w:rFonts w:hint="eastAsia"/>
        </w:rPr>
        <w:t>、</w:t>
      </w:r>
      <w:r>
        <w:t>施工工艺的特殊性</w:t>
      </w:r>
      <w:r>
        <w:rPr>
          <w:rFonts w:hint="eastAsia"/>
        </w:rPr>
        <w:t>、</w:t>
      </w:r>
      <w:r>
        <w:t>检测设备的适用性</w:t>
      </w:r>
      <w:r>
        <w:rPr>
          <w:rFonts w:hint="eastAsia"/>
        </w:rPr>
        <w:t>、</w:t>
      </w:r>
      <w:r>
        <w:t>现场实施条件可行性</w:t>
      </w:r>
      <w:r>
        <w:rPr>
          <w:rFonts w:hint="eastAsia"/>
        </w:rPr>
        <w:t>。</w:t>
      </w:r>
    </w:p>
    <w:p>
      <w:pPr>
        <w:ind w:firstLine="0" w:firstLineChars="0"/>
      </w:pPr>
      <w:r>
        <w:rPr>
          <w:rFonts w:hint="eastAsia"/>
        </w:rPr>
        <w:t>8</w:t>
      </w:r>
      <w:r>
        <w:t xml:space="preserve">.1.6 </w:t>
      </w:r>
      <w:r>
        <w:rPr>
          <w:rFonts w:hint="eastAsia"/>
        </w:rPr>
        <w:t xml:space="preserve"> </w:t>
      </w:r>
      <w:r>
        <w:t>抽检数量确定‌</w:t>
      </w:r>
    </w:p>
    <w:p>
      <w:pPr>
        <w:ind w:firstLine="480"/>
      </w:pPr>
      <w:r>
        <w:t>抽检基数确定原则</w:t>
      </w:r>
      <w:r>
        <w:rPr>
          <w:rFonts w:hint="eastAsia"/>
        </w:rPr>
        <w:t>，</w:t>
      </w:r>
      <w:r>
        <w:t>应以单位工程为基本统计单元</w:t>
      </w:r>
      <w:r>
        <w:rPr>
          <w:rFonts w:hint="eastAsia"/>
        </w:rPr>
        <w:t>。</w:t>
      </w:r>
      <w:r>
        <w:t>当单位工程包含多个子单位工程时，分别计算不同桩型或地基处理方法应分别确定抽检数量</w:t>
      </w:r>
      <w:r>
        <w:rPr>
          <w:rFonts w:hint="eastAsia"/>
        </w:rPr>
        <w:t>。</w:t>
      </w:r>
    </w:p>
    <w:p>
      <w:pPr>
        <w:ind w:firstLine="480"/>
      </w:pPr>
      <w:r>
        <w:t>特殊情况处理</w:t>
      </w:r>
      <w:r>
        <w:rPr>
          <w:rFonts w:hint="eastAsia"/>
        </w:rPr>
        <w:t>原则：</w:t>
      </w:r>
    </w:p>
    <w:p>
      <w:pPr>
        <w:ind w:firstLine="480"/>
      </w:pPr>
      <w:r>
        <w:t>小区工程合并条件‌：</w:t>
      </w:r>
    </w:p>
    <w:p>
      <w:pPr>
        <w:ind w:firstLine="480"/>
      </w:pPr>
      <w:r>
        <w:t>地基设计等级必须为丙级</w:t>
      </w:r>
      <w:r>
        <w:rPr>
          <w:rFonts w:hint="eastAsia"/>
        </w:rPr>
        <w:t>，</w:t>
      </w:r>
      <w:r>
        <w:t>各单位工程桩数＜30根或处理面积＜300</w:t>
      </w:r>
      <w:r>
        <w:rPr>
          <w:rFonts w:hint="eastAsia"/>
        </w:rPr>
        <w:t xml:space="preserve"> </w:t>
      </w:r>
      <w:r>
        <w:t>m²</w:t>
      </w:r>
      <w:r>
        <w:rPr>
          <w:rFonts w:hint="eastAsia"/>
        </w:rPr>
        <w:t>，</w:t>
      </w:r>
      <w:r>
        <w:t>地质条件相近需经勘察资料对比确认</w:t>
      </w:r>
      <w:r>
        <w:rPr>
          <w:rFonts w:hint="eastAsia"/>
        </w:rPr>
        <w:t>，</w:t>
      </w:r>
      <w:r>
        <w:t>施工工艺相同需经施工记录核查</w:t>
      </w:r>
      <w:r>
        <w:rPr>
          <w:rFonts w:hint="eastAsia"/>
        </w:rPr>
        <w:t>。</w:t>
      </w:r>
    </w:p>
    <w:p>
      <w:pPr>
        <w:ind w:firstLine="480"/>
      </w:pPr>
      <w:r>
        <w:t>大型工程抽检优化‌：</w:t>
      </w:r>
    </w:p>
    <w:p>
      <w:pPr>
        <w:ind w:firstLine="480"/>
      </w:pPr>
      <w:r>
        <w:t>基准规模：20000</w:t>
      </w:r>
      <w:r>
        <w:rPr>
          <w:rFonts w:hint="eastAsia"/>
        </w:rPr>
        <w:t xml:space="preserve"> </w:t>
      </w:r>
      <w:r>
        <w:t>m²地基处理面积或2000根工程桩</w:t>
      </w:r>
      <w:r>
        <w:rPr>
          <w:rFonts w:hint="eastAsia"/>
        </w:rPr>
        <w:t>，</w:t>
      </w:r>
      <w:r>
        <w:t>超过部分可按50%比例抽检，但总量不得低于规范最低要求</w:t>
      </w:r>
      <w:r>
        <w:rPr>
          <w:rFonts w:hint="eastAsia"/>
        </w:rPr>
        <w:t>。</w:t>
      </w:r>
      <w:r>
        <w:t>抽检分布应考虑工程重要性分区和地质变化特征</w:t>
      </w:r>
      <w:r>
        <w:rPr>
          <w:rFonts w:hint="eastAsia"/>
        </w:rPr>
        <w:t>。</w:t>
      </w:r>
    </w:p>
    <w:p>
      <w:pPr>
        <w:ind w:firstLine="480"/>
      </w:pPr>
      <w:r>
        <w:t>对于补桩和经过加固处理的桩体，应根据处理方案的复杂性和缺陷的严重程度适当提高抽检比例，一般为常规要求的1.5-2倍。</w:t>
      </w:r>
    </w:p>
    <w:p>
      <w:pPr>
        <w:ind w:firstLine="0" w:firstLineChars="0"/>
      </w:pPr>
      <w:r>
        <w:rPr>
          <w:rFonts w:hint="eastAsia"/>
        </w:rPr>
        <w:t>8</w:t>
      </w:r>
      <w:r>
        <w:t>.1.7-</w:t>
      </w:r>
      <w:r>
        <w:rPr>
          <w:rFonts w:hint="eastAsia"/>
        </w:rPr>
        <w:t>8</w:t>
      </w:r>
      <w:r>
        <w:t xml:space="preserve">.1.9 </w:t>
      </w:r>
      <w:r>
        <w:rPr>
          <w:rFonts w:hint="eastAsia"/>
        </w:rPr>
        <w:t xml:space="preserve"> </w:t>
      </w:r>
      <w:r>
        <w:t>检测质量控制‌</w:t>
      </w:r>
    </w:p>
    <w:p>
      <w:pPr>
        <w:ind w:firstLine="480"/>
      </w:pPr>
      <w:r>
        <w:t>检测数据异常时，必须查明原因并重新检测</w:t>
      </w:r>
      <w:r>
        <w:rPr>
          <w:rFonts w:hint="eastAsia"/>
        </w:rPr>
        <w:t>。</w:t>
      </w:r>
      <w:r>
        <w:t>计量器具定期校准，确保检测数据准确性</w:t>
      </w:r>
      <w:r>
        <w:rPr>
          <w:rFonts w:hint="eastAsia"/>
        </w:rPr>
        <w:t>。</w:t>
      </w:r>
      <w:r>
        <w:t>现场作业必须符合安全生产要求，保障人员和设备安全</w:t>
      </w:r>
      <w:r>
        <w:rPr>
          <w:rFonts w:hint="eastAsia"/>
        </w:rPr>
        <w:t>。</w:t>
      </w:r>
    </w:p>
    <w:p>
      <w:pPr>
        <w:pStyle w:val="3"/>
      </w:pPr>
      <w:bookmarkStart w:id="311" w:name="_Toc213663170"/>
      <w:bookmarkStart w:id="312" w:name="_Toc213663411"/>
      <w:bookmarkStart w:id="313" w:name="_Toc213690101"/>
      <w:bookmarkStart w:id="314" w:name="_Toc213690400"/>
      <w:bookmarkStart w:id="315" w:name="_Toc213773572"/>
      <w:bookmarkStart w:id="316" w:name="_Toc213662976"/>
      <w:r>
        <w:rPr>
          <w:rFonts w:hint="eastAsia"/>
        </w:rPr>
        <w:t>8</w:t>
      </w:r>
      <w:r>
        <w:t xml:space="preserve">.2 </w:t>
      </w:r>
      <w:r>
        <w:rPr>
          <w:rFonts w:hint="eastAsia"/>
        </w:rPr>
        <w:t xml:space="preserve"> </w:t>
      </w:r>
      <w:r>
        <w:t>复合地基检测规定‌</w:t>
      </w:r>
      <w:bookmarkEnd w:id="311"/>
      <w:bookmarkEnd w:id="312"/>
      <w:bookmarkEnd w:id="313"/>
      <w:bookmarkEnd w:id="314"/>
      <w:bookmarkEnd w:id="315"/>
      <w:bookmarkEnd w:id="316"/>
    </w:p>
    <w:p>
      <w:pPr>
        <w:ind w:firstLine="0" w:firstLineChars="0"/>
      </w:pPr>
      <w:r>
        <w:rPr>
          <w:rFonts w:hint="eastAsia"/>
        </w:rPr>
        <w:t>8</w:t>
      </w:r>
      <w:r>
        <w:t xml:space="preserve">.2.1 </w:t>
      </w:r>
      <w:r>
        <w:rPr>
          <w:rFonts w:hint="eastAsia"/>
        </w:rPr>
        <w:t xml:space="preserve"> </w:t>
      </w:r>
      <w:r>
        <w:t>检测方法组合原则‌</w:t>
      </w:r>
    </w:p>
    <w:p>
      <w:pPr>
        <w:ind w:firstLine="480"/>
      </w:pPr>
      <w:r>
        <w:t>"先简后繁、先粗后细"的具体应用：首先采用低应变法等简便方法进行快速普查</w:t>
      </w:r>
      <w:r>
        <w:rPr>
          <w:rFonts w:hint="eastAsia"/>
        </w:rPr>
        <w:t>，</w:t>
      </w:r>
      <w:r>
        <w:t>根据普查结果选择重点位置进行静载试验等详细检测</w:t>
      </w:r>
      <w:r>
        <w:rPr>
          <w:rFonts w:hint="eastAsia"/>
        </w:rPr>
        <w:t>。</w:t>
      </w:r>
      <w:r>
        <w:t>检测深度应根据工程要求和地质条件逐步加深</w:t>
      </w:r>
      <w:r>
        <w:rPr>
          <w:rFonts w:hint="eastAsia"/>
        </w:rPr>
        <w:t>。</w:t>
      </w:r>
    </w:p>
    <w:p>
      <w:pPr>
        <w:ind w:firstLine="0" w:firstLineChars="0"/>
      </w:pPr>
      <w:r>
        <w:rPr>
          <w:rFonts w:hint="eastAsia"/>
        </w:rPr>
        <w:t>8</w:t>
      </w:r>
      <w:r>
        <w:t xml:space="preserve">.2.3 </w:t>
      </w:r>
      <w:r>
        <w:rPr>
          <w:rFonts w:hint="eastAsia"/>
        </w:rPr>
        <w:t xml:space="preserve"> </w:t>
      </w:r>
      <w:r>
        <w:t>抽检位置确定说明‌</w:t>
      </w:r>
    </w:p>
    <w:p>
      <w:pPr>
        <w:ind w:firstLine="480"/>
      </w:pPr>
      <w:r>
        <w:t>抽检位置选择应综合考虑以下因素，按优先级排序：</w:t>
      </w:r>
    </w:p>
    <w:p>
      <w:pPr>
        <w:ind w:firstLine="480"/>
      </w:pPr>
      <w:r>
        <w:t>施工异常部位‌：如沉桩困难、桩顶位移过大等</w:t>
      </w:r>
      <w:r>
        <w:rPr>
          <w:rFonts w:hint="eastAsia"/>
        </w:rPr>
        <w:t>；</w:t>
      </w:r>
    </w:p>
    <w:p>
      <w:pPr>
        <w:ind w:firstLine="480"/>
      </w:pPr>
      <w:r>
        <w:t>设计重点部位‌：如荷载集中区、结构薄弱环节</w:t>
      </w:r>
      <w:r>
        <w:rPr>
          <w:rFonts w:hint="eastAsia"/>
        </w:rPr>
        <w:t>；</w:t>
      </w:r>
    </w:p>
    <w:p>
      <w:pPr>
        <w:ind w:firstLine="480"/>
      </w:pPr>
      <w:r>
        <w:t>地质复杂区域‌：如岩性变化带、软弱夹层分布区</w:t>
      </w:r>
      <w:r>
        <w:rPr>
          <w:rFonts w:hint="eastAsia"/>
        </w:rPr>
        <w:t>；</w:t>
      </w:r>
    </w:p>
    <w:p>
      <w:pPr>
        <w:ind w:firstLine="480"/>
      </w:pPr>
      <w:r>
        <w:t>检测结果导向‌：前序检测发现的异常区域</w:t>
      </w:r>
      <w:r>
        <w:rPr>
          <w:rFonts w:hint="eastAsia"/>
        </w:rPr>
        <w:t>；</w:t>
      </w:r>
    </w:p>
    <w:p>
      <w:pPr>
        <w:ind w:firstLine="480"/>
      </w:pPr>
      <w:r>
        <w:t>均匀分布要求‌：确保抽检样本的代表性</w:t>
      </w:r>
      <w:r>
        <w:rPr>
          <w:rFonts w:hint="eastAsia"/>
        </w:rPr>
        <w:t>。</w:t>
      </w:r>
    </w:p>
    <w:p>
      <w:pPr>
        <w:ind w:firstLine="0" w:firstLineChars="0"/>
      </w:pPr>
      <w:r>
        <w:rPr>
          <w:rFonts w:hint="eastAsia"/>
        </w:rPr>
        <w:t>8</w:t>
      </w:r>
      <w:r>
        <w:t>.2.7-</w:t>
      </w:r>
      <w:r>
        <w:rPr>
          <w:rFonts w:hint="eastAsia"/>
        </w:rPr>
        <w:t>8</w:t>
      </w:r>
      <w:r>
        <w:t xml:space="preserve">.2.8 </w:t>
      </w:r>
      <w:r>
        <w:rPr>
          <w:rFonts w:hint="eastAsia"/>
        </w:rPr>
        <w:t xml:space="preserve"> </w:t>
      </w:r>
      <w:r>
        <w:t>检测数量与组合‌</w:t>
      </w:r>
    </w:p>
    <w:p>
      <w:pPr>
        <w:ind w:firstLine="480"/>
      </w:pPr>
      <w:r>
        <w:t>平板载荷试验‌：抽检比例0.5%-1%，主要根据工程规模和安全等级确定</w:t>
      </w:r>
      <w:r>
        <w:rPr>
          <w:rFonts w:hint="eastAsia"/>
        </w:rPr>
        <w:t>。</w:t>
      </w:r>
      <w:r>
        <w:t>试验形式可灵活选择单桩或多桩复合试验</w:t>
      </w:r>
      <w:r>
        <w:rPr>
          <w:rFonts w:hint="eastAsia"/>
        </w:rPr>
        <w:t>。</w:t>
      </w:r>
    </w:p>
    <w:p>
      <w:pPr>
        <w:ind w:firstLine="480"/>
      </w:pPr>
      <w:r>
        <w:t>桩体质量检测组合‌：快速普查采用低应变法，抽检10%且不少于10根</w:t>
      </w:r>
      <w:r>
        <w:rPr>
          <w:rFonts w:hint="eastAsia"/>
        </w:rPr>
        <w:t>。</w:t>
      </w:r>
      <w:r>
        <w:t>重点验证采用钻芯法或静载试验，抽检0.5%且不少于3根</w:t>
      </w:r>
      <w:r>
        <w:rPr>
          <w:rFonts w:hint="eastAsia"/>
        </w:rPr>
        <w:t>。</w:t>
      </w:r>
    </w:p>
    <w:p>
      <w:pPr>
        <w:pStyle w:val="3"/>
      </w:pPr>
      <w:bookmarkStart w:id="317" w:name="_Toc213662977"/>
      <w:bookmarkStart w:id="318" w:name="_Toc213663412"/>
      <w:bookmarkStart w:id="319" w:name="_Toc213690102"/>
      <w:bookmarkStart w:id="320" w:name="_Toc213690401"/>
      <w:bookmarkStart w:id="321" w:name="_Toc213773573"/>
      <w:bookmarkStart w:id="322" w:name="_Toc213663171"/>
      <w:r>
        <w:rPr>
          <w:rFonts w:hint="eastAsia"/>
        </w:rPr>
        <w:t>8</w:t>
      </w:r>
      <w:r>
        <w:t xml:space="preserve">.3 </w:t>
      </w:r>
      <w:r>
        <w:rPr>
          <w:rFonts w:hint="eastAsia"/>
        </w:rPr>
        <w:t xml:space="preserve"> </w:t>
      </w:r>
      <w:r>
        <w:t>基桩检测规定‌</w:t>
      </w:r>
      <w:bookmarkEnd w:id="317"/>
      <w:bookmarkEnd w:id="318"/>
      <w:bookmarkEnd w:id="319"/>
      <w:bookmarkEnd w:id="320"/>
      <w:bookmarkEnd w:id="321"/>
      <w:bookmarkEnd w:id="322"/>
    </w:p>
    <w:p>
      <w:pPr>
        <w:ind w:firstLine="0" w:firstLineChars="0"/>
      </w:pPr>
      <w:r>
        <w:rPr>
          <w:rFonts w:hint="eastAsia"/>
        </w:rPr>
        <w:t>8</w:t>
      </w:r>
      <w:r>
        <w:t>.3.1</w:t>
      </w:r>
      <w:r>
        <w:rPr>
          <w:rFonts w:hint="eastAsia"/>
        </w:rPr>
        <w:t xml:space="preserve"> </w:t>
      </w:r>
      <w:r>
        <w:t xml:space="preserve"> 检测顺序‌</w:t>
      </w:r>
    </w:p>
    <w:p>
      <w:pPr>
        <w:ind w:firstLine="480"/>
      </w:pPr>
      <w:r>
        <w:t>先进行桩身完整性检测，排除严重缺陷桩</w:t>
      </w:r>
      <w:r>
        <w:rPr>
          <w:rFonts w:hint="eastAsia"/>
        </w:rPr>
        <w:t>。</w:t>
      </w:r>
      <w:r>
        <w:t>后进行承载力检测，确保受检桩具有代表性</w:t>
      </w:r>
      <w:r>
        <w:rPr>
          <w:rFonts w:hint="eastAsia"/>
        </w:rPr>
        <w:t>。</w:t>
      </w:r>
      <w:r>
        <w:t>基坑开挖至基底标高后进行检测，反映真实受力状态</w:t>
      </w:r>
      <w:r>
        <w:rPr>
          <w:rFonts w:hint="eastAsia"/>
        </w:rPr>
        <w:t>。</w:t>
      </w:r>
    </w:p>
    <w:p>
      <w:pPr>
        <w:ind w:firstLine="0" w:firstLineChars="0"/>
      </w:pPr>
      <w:r>
        <w:rPr>
          <w:rFonts w:hint="eastAsia"/>
        </w:rPr>
        <w:t>8</w:t>
      </w:r>
      <w:r>
        <w:t xml:space="preserve">.3.2 </w:t>
      </w:r>
      <w:r>
        <w:rPr>
          <w:rFonts w:hint="eastAsia"/>
        </w:rPr>
        <w:t xml:space="preserve"> </w:t>
      </w:r>
      <w:r>
        <w:t>检测时间间隔‌</w:t>
      </w:r>
    </w:p>
    <w:p>
      <w:pPr>
        <w:ind w:firstLine="480"/>
      </w:pPr>
      <w:r>
        <w:t>不同类型检测方法对混凝土强度的要求：</w:t>
      </w:r>
    </w:p>
    <w:p>
      <w:pPr>
        <w:ind w:firstLine="480"/>
      </w:pPr>
      <w:r>
        <w:t>低应变法‌：≥设计强度70%或预留试块≥15</w:t>
      </w:r>
      <w:r>
        <w:rPr>
          <w:rFonts w:hint="eastAsia"/>
        </w:rPr>
        <w:t xml:space="preserve"> </w:t>
      </w:r>
      <w:r>
        <w:t>MPa</w:t>
      </w:r>
      <w:r>
        <w:rPr>
          <w:rFonts w:hint="eastAsia"/>
        </w:rPr>
        <w:t>；</w:t>
      </w:r>
    </w:p>
    <w:p>
      <w:pPr>
        <w:ind w:firstLine="480"/>
      </w:pPr>
      <w:r>
        <w:t>钻芯法‌：≥28</w:t>
      </w:r>
      <w:r>
        <w:rPr>
          <w:rFonts w:hint="eastAsia"/>
        </w:rPr>
        <w:t xml:space="preserve"> </w:t>
      </w:r>
      <w:r>
        <w:t>d龄期或预留试块满足设计要求</w:t>
      </w:r>
      <w:r>
        <w:rPr>
          <w:rFonts w:hint="eastAsia"/>
        </w:rPr>
        <w:t>；</w:t>
      </w:r>
    </w:p>
    <w:p>
      <w:pPr>
        <w:ind w:firstLine="480"/>
      </w:pPr>
      <w:r>
        <w:t>高应变和静载试验‌：除满足28</w:t>
      </w:r>
      <w:r>
        <w:rPr>
          <w:rFonts w:hint="eastAsia"/>
        </w:rPr>
        <w:t xml:space="preserve"> </w:t>
      </w:r>
      <w:r>
        <w:t>d龄期外，还需考虑不同土质条件下的养护时间要求</w:t>
      </w:r>
      <w:r>
        <w:rPr>
          <w:rFonts w:hint="eastAsia"/>
        </w:rPr>
        <w:t>。</w:t>
      </w:r>
    </w:p>
    <w:p>
      <w:pPr>
        <w:pStyle w:val="3"/>
      </w:pPr>
      <w:bookmarkStart w:id="323" w:name="_Toc213690103"/>
      <w:bookmarkStart w:id="324" w:name="_Toc213662978"/>
      <w:bookmarkStart w:id="325" w:name="_Toc213663172"/>
      <w:bookmarkStart w:id="326" w:name="_Toc213663413"/>
      <w:bookmarkStart w:id="327" w:name="_Toc213690402"/>
      <w:bookmarkStart w:id="328" w:name="_Toc213773574"/>
      <w:r>
        <w:rPr>
          <w:rFonts w:hint="eastAsia"/>
        </w:rPr>
        <w:t>8</w:t>
      </w:r>
      <w:r>
        <w:t xml:space="preserve">.5 </w:t>
      </w:r>
      <w:r>
        <w:rPr>
          <w:rFonts w:hint="eastAsia"/>
        </w:rPr>
        <w:t xml:space="preserve"> </w:t>
      </w:r>
      <w:r>
        <w:t>验证与扩大检测‌</w:t>
      </w:r>
      <w:bookmarkEnd w:id="323"/>
      <w:bookmarkEnd w:id="324"/>
      <w:bookmarkEnd w:id="325"/>
      <w:bookmarkEnd w:id="326"/>
      <w:bookmarkEnd w:id="327"/>
      <w:bookmarkEnd w:id="328"/>
    </w:p>
    <w:p>
      <w:pPr>
        <w:ind w:firstLine="0" w:firstLineChars="0"/>
      </w:pPr>
      <w:r>
        <w:rPr>
          <w:rFonts w:hint="eastAsia"/>
        </w:rPr>
        <w:t>8</w:t>
      </w:r>
      <w:r>
        <w:t>.5.1 验证检测条件‌</w:t>
      </w:r>
    </w:p>
    <w:p>
      <w:pPr>
        <w:ind w:firstLine="480"/>
      </w:pPr>
      <w:r>
        <w:t>必须进行验证检测的情形：检测数据存在明显异常或矛盾</w:t>
      </w:r>
      <w:r>
        <w:rPr>
          <w:rFonts w:hint="eastAsia"/>
        </w:rPr>
        <w:t>，</w:t>
      </w:r>
      <w:r>
        <w:t>不同检测方法结果不一致</w:t>
      </w:r>
      <w:r>
        <w:rPr>
          <w:rFonts w:hint="eastAsia"/>
        </w:rPr>
        <w:t>，</w:t>
      </w:r>
      <w:r>
        <w:t>建设、设计或监理单位对检测结果提出合理质疑</w:t>
      </w:r>
      <w:r>
        <w:rPr>
          <w:rFonts w:hint="eastAsia"/>
        </w:rPr>
        <w:t>。</w:t>
      </w:r>
    </w:p>
    <w:p>
      <w:pPr>
        <w:ind w:firstLine="0" w:firstLineChars="0"/>
      </w:pPr>
      <w:r>
        <w:rPr>
          <w:rFonts w:hint="eastAsia"/>
        </w:rPr>
        <w:t>8</w:t>
      </w:r>
      <w:r>
        <w:t xml:space="preserve">.5.2 </w:t>
      </w:r>
      <w:r>
        <w:rPr>
          <w:rFonts w:hint="eastAsia"/>
        </w:rPr>
        <w:t xml:space="preserve"> </w:t>
      </w:r>
      <w:r>
        <w:t>扩大抽检执行标准‌</w:t>
      </w:r>
    </w:p>
    <w:p>
      <w:pPr>
        <w:ind w:firstLine="480"/>
      </w:pPr>
      <w:r>
        <w:t>首次扩大‌：按不满足要求数量的200%执行</w:t>
      </w:r>
      <w:r>
        <w:rPr>
          <w:rFonts w:hint="eastAsia"/>
        </w:rPr>
        <w:t>；</w:t>
      </w:r>
      <w:r>
        <w:t>再次扩大‌：根据首次扩大结果确定进一步方案</w:t>
      </w:r>
      <w:r>
        <w:rPr>
          <w:rFonts w:hint="eastAsia"/>
        </w:rPr>
        <w:t>；</w:t>
      </w:r>
      <w:r>
        <w:t>全数检测‌：当Ⅲ、Ⅳ类桩比例连续两次超过20%</w:t>
      </w:r>
      <w:r>
        <w:rPr>
          <w:rFonts w:hint="eastAsia"/>
        </w:rPr>
        <w:t>。</w:t>
      </w:r>
    </w:p>
    <w:p>
      <w:pPr>
        <w:pStyle w:val="3"/>
      </w:pPr>
      <w:bookmarkStart w:id="329" w:name="_Toc213663414"/>
      <w:bookmarkStart w:id="330" w:name="_Toc213663173"/>
      <w:bookmarkStart w:id="331" w:name="_Toc213773575"/>
      <w:bookmarkStart w:id="332" w:name="_Toc213662979"/>
      <w:bookmarkStart w:id="333" w:name="_Toc213690104"/>
      <w:bookmarkStart w:id="334" w:name="_Toc213690403"/>
      <w:r>
        <w:rPr>
          <w:rFonts w:hint="eastAsia"/>
        </w:rPr>
        <w:t>8</w:t>
      </w:r>
      <w:r>
        <w:t xml:space="preserve">.6 </w:t>
      </w:r>
      <w:r>
        <w:rPr>
          <w:rFonts w:hint="eastAsia"/>
        </w:rPr>
        <w:t xml:space="preserve"> </w:t>
      </w:r>
      <w:r>
        <w:t>检测结果评价和检测报告‌</w:t>
      </w:r>
      <w:bookmarkEnd w:id="329"/>
      <w:bookmarkEnd w:id="330"/>
      <w:bookmarkEnd w:id="331"/>
      <w:bookmarkEnd w:id="332"/>
      <w:bookmarkEnd w:id="333"/>
      <w:bookmarkEnd w:id="334"/>
    </w:p>
    <w:p>
      <w:pPr>
        <w:ind w:firstLine="0" w:firstLineChars="0"/>
      </w:pPr>
      <w:r>
        <w:rPr>
          <w:rFonts w:hint="eastAsia"/>
        </w:rPr>
        <w:t>8</w:t>
      </w:r>
      <w:r>
        <w:t>.6.1-</w:t>
      </w:r>
      <w:r>
        <w:rPr>
          <w:rFonts w:hint="eastAsia"/>
        </w:rPr>
        <w:t>8</w:t>
      </w:r>
      <w:r>
        <w:t xml:space="preserve">.6.3 </w:t>
      </w:r>
      <w:r>
        <w:rPr>
          <w:rFonts w:hint="eastAsia"/>
        </w:rPr>
        <w:t xml:space="preserve"> </w:t>
      </w:r>
      <w:r>
        <w:t>评价标准‌</w:t>
      </w:r>
    </w:p>
    <w:p>
      <w:pPr>
        <w:ind w:firstLine="480"/>
      </w:pPr>
      <w:r>
        <w:t>桩身完整性分类的技术依据‌：</w:t>
      </w:r>
    </w:p>
    <w:p>
      <w:pPr>
        <w:ind w:firstLine="480"/>
      </w:pPr>
      <w:r>
        <w:t>Ⅰ类桩‌：桩身完整，波形正常，无缺陷特征</w:t>
      </w:r>
    </w:p>
    <w:p>
      <w:pPr>
        <w:ind w:firstLine="480"/>
      </w:pPr>
      <w:r>
        <w:t>Ⅱ类桩‌：存在轻微缺陷，但桩身结构完整性良好</w:t>
      </w:r>
    </w:p>
    <w:p>
      <w:pPr>
        <w:ind w:firstLine="480"/>
      </w:pPr>
      <w:r>
        <w:t>Ⅲ类桩‌：明显缺陷，需要通过静载试验验证对承载力的影响程度</w:t>
      </w:r>
    </w:p>
    <w:p>
      <w:pPr>
        <w:ind w:firstLine="480"/>
      </w:pPr>
      <w:r>
        <w:t>Ⅳ类桩‌：严重缺陷，必须进行工程处理或废弃</w:t>
      </w:r>
    </w:p>
    <w:p>
      <w:pPr>
        <w:ind w:firstLine="0" w:firstLineChars="0"/>
      </w:pPr>
      <w:r>
        <w:rPr>
          <w:rFonts w:hint="eastAsia"/>
        </w:rPr>
        <w:t>8</w:t>
      </w:r>
      <w:r>
        <w:t xml:space="preserve">.6.7 </w:t>
      </w:r>
      <w:r>
        <w:rPr>
          <w:rFonts w:hint="eastAsia"/>
        </w:rPr>
        <w:t xml:space="preserve"> </w:t>
      </w:r>
      <w:r>
        <w:t>检测报告编制要求‌</w:t>
      </w:r>
    </w:p>
    <w:p>
      <w:pPr>
        <w:ind w:firstLine="480"/>
      </w:pPr>
      <w:r>
        <w:t>检测报告必须确保内容的完整性和准确性：</w:t>
      </w:r>
    </w:p>
    <w:p>
      <w:pPr>
        <w:ind w:firstLine="480"/>
      </w:pPr>
      <w:r>
        <w:t>基本信息齐全，各方责任主体明确</w:t>
      </w:r>
      <w:r>
        <w:rPr>
          <w:rFonts w:hint="eastAsia"/>
        </w:rPr>
        <w:t>。</w:t>
      </w:r>
      <w:r>
        <w:t>检测数据记录完整，分析过程清晰</w:t>
      </w:r>
      <w:r>
        <w:rPr>
          <w:rFonts w:hint="eastAsia"/>
        </w:rPr>
        <w:t>。</w:t>
      </w:r>
    </w:p>
    <w:p>
      <w:pPr>
        <w:ind w:firstLine="480"/>
      </w:pPr>
      <w:r>
        <w:t>检测结论明确，技术依据充分</w:t>
      </w:r>
      <w:r>
        <w:rPr>
          <w:rFonts w:hint="eastAsia"/>
        </w:rPr>
        <w:t>。</w:t>
      </w:r>
      <w:r>
        <w:t>异常情况描述详实，处理建议合理</w:t>
      </w:r>
      <w:r>
        <w:rPr>
          <w:rFonts w:hint="eastAsia"/>
        </w:rPr>
        <w:t>。</w:t>
      </w:r>
    </w:p>
    <w:p>
      <w:pPr>
        <w:ind w:firstLine="0" w:firstLineChars="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Light">
    <w:altName w:val="华文仿宋"/>
    <w:panose1 w:val="02010600030101010101"/>
    <w:charset w:val="86"/>
    <w:family w:val="auto"/>
    <w:pitch w:val="default"/>
    <w:sig w:usb0="00000000" w:usb1="00000000" w:usb2="00000016" w:usb3="00000000" w:csb0="0004000F" w:csb1="00000000"/>
  </w:font>
  <w:font w:name="等线">
    <w:altName w:val="华文仿宋"/>
    <w:panose1 w:val="02010600030101010101"/>
    <w:charset w:val="86"/>
    <w:family w:val="auto"/>
    <w:pitch w:val="default"/>
    <w:sig w:usb0="00000000" w:usb1="00000000" w:usb2="00000016" w:usb3="00000000" w:csb0="0004000F" w:csb1="00000000"/>
  </w:font>
  <w:font w:name="Cambria Math">
    <w:altName w:val="DejaVu Math TeX Gyre"/>
    <w:panose1 w:val="02040503050406030204"/>
    <w:charset w:val="00"/>
    <w:family w:val="roman"/>
    <w:pitch w:val="default"/>
    <w:sig w:usb0="00000000" w:usb1="00000000" w:usb2="02000000" w:usb3="00000000" w:csb0="0000019F" w:csb1="00000000"/>
  </w:font>
  <w:font w:name="微软雅黑">
    <w:altName w:val="方正黑体_GBK"/>
    <w:panose1 w:val="020B0503020204020204"/>
    <w:charset w:val="86"/>
    <w:family w:val="swiss"/>
    <w:pitch w:val="default"/>
    <w:sig w:usb0="00000000" w:usb1="00000000" w:usb2="00000016" w:usb3="00000000" w:csb0="0004001F" w:csb1="00000000"/>
  </w:font>
  <w:font w:name="Arial Unicode MS">
    <w:altName w:val="DejaVu Sans"/>
    <w:panose1 w:val="020B0604020202020204"/>
    <w:charset w:val="86"/>
    <w:family w:val="swiss"/>
    <w:pitch w:val="default"/>
    <w:sig w:usb0="00000000" w:usb1="00000000" w:usb2="0000003F" w:usb3="00000000" w:csb0="003F01F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Liberation Serif">
    <w:panose1 w:val="02020603050405020304"/>
    <w:charset w:val="00"/>
    <w:family w:val="auto"/>
    <w:pitch w:val="default"/>
    <w:sig w:usb0="A00002AF" w:usb1="500078FB" w:usb2="00000000" w:usb3="00000000" w:csb0="6000009F" w:csb1="DFD70000"/>
  </w:font>
  <w:font w:name="等线">
    <w:altName w:val="URW Bookman"/>
    <w:panose1 w:val="00000000000000000000"/>
    <w:charset w:val="00"/>
    <w:family w:val="auto"/>
    <w:pitch w:val="default"/>
    <w:sig w:usb0="00000000" w:usb1="00000000" w:usb2="00000000" w:usb3="00000000" w:csb0="00000000" w:csb1="00000000"/>
  </w:font>
  <w:font w:name="URW Bookman">
    <w:panose1 w:val="00000400000000000000"/>
    <w:charset w:val="00"/>
    <w:family w:val="auto"/>
    <w:pitch w:val="default"/>
    <w:sig w:usb0="00000287" w:usb1="00000800" w:usb2="00000000" w:usb3="00000000" w:csb0="6000009F" w:csb1="00000000"/>
  </w:font>
  <w:font w:name="DejaVu Math TeX Gyre">
    <w:panose1 w:val="02000503000000000000"/>
    <w:charset w:val="00"/>
    <w:family w:val="auto"/>
    <w:pitch w:val="default"/>
    <w:sig w:usb0="A10000EF" w:usb1="4201F9EE" w:usb2="02000000" w:usb3="00000000" w:csb0="60000193" w:csb1="0DD40000"/>
  </w:font>
  <w:font w:name="方正宋体S-超大字符集">
    <w:panose1 w:val="02000000000000000000"/>
    <w:charset w:val="86"/>
    <w:family w:val="auto"/>
    <w:pitch w:val="default"/>
    <w:sig w:usb0="00000001" w:usb1="08000000" w:usb2="00000000" w:usb3="00000000" w:csb0="00040000" w:csb1="00000000"/>
  </w:font>
  <w:font w:name="等线 Light">
    <w:altName w:val="URW Book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597522"/>
      <w:docPartObj>
        <w:docPartGallery w:val="autotext"/>
      </w:docPartObj>
    </w:sdtPr>
    <w:sdtContent>
      <w:p>
        <w:pPr>
          <w:pStyle w:val="16"/>
        </w:pPr>
        <w:r>
          <w:fldChar w:fldCharType="begin"/>
        </w:r>
        <w:r>
          <w:instrText xml:space="preserve">PAGE   \* MERGEFORMAT</w:instrText>
        </w:r>
        <w:r>
          <w:fldChar w:fldCharType="separate"/>
        </w:r>
        <w:r>
          <w:rPr>
            <w:lang w:val="zh-CN"/>
          </w:rPr>
          <w:t>4</w:t>
        </w:r>
        <w:r>
          <w:fldChar w:fldCharType="end"/>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88487974"/>
    </w:sdtPr>
    <w:sdtContent>
      <w:p>
        <w:pPr>
          <w:pStyle w:val="16"/>
        </w:pPr>
        <w:r>
          <w:fldChar w:fldCharType="begin"/>
        </w:r>
        <w:r>
          <w:instrText xml:space="preserve">PAGE   \* MERGEFORMAT</w:instrText>
        </w:r>
        <w:r>
          <w:fldChar w:fldCharType="separate"/>
        </w:r>
        <w:r>
          <w:rPr>
            <w:lang w:val="zh-CN"/>
          </w:rPr>
          <w:t>43</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cumentProtection w:enforcement="0"/>
  <w:defaultTabStop w:val="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xMDM3MrAwtzQ0NjM2MDBQ0lEKTi0uzszPAykwrAUA4xCNySwAAAA="/>
    <w:docVar w:name="commondata" w:val="eyJoZGlkIjoiMWRjYmY1NzA1NzQwYWEzZDJhNDcwYjI2MmRiY2EyMDQifQ=="/>
  </w:docVars>
  <w:rsids>
    <w:rsidRoot w:val="00C018B4"/>
    <w:rsid w:val="00002A7D"/>
    <w:rsid w:val="00003BDD"/>
    <w:rsid w:val="00011288"/>
    <w:rsid w:val="000125CF"/>
    <w:rsid w:val="000130D7"/>
    <w:rsid w:val="00023B29"/>
    <w:rsid w:val="00024751"/>
    <w:rsid w:val="000308A2"/>
    <w:rsid w:val="000325A9"/>
    <w:rsid w:val="00041BBF"/>
    <w:rsid w:val="000437B5"/>
    <w:rsid w:val="00046A73"/>
    <w:rsid w:val="000502D1"/>
    <w:rsid w:val="00050ABE"/>
    <w:rsid w:val="00050E45"/>
    <w:rsid w:val="000568C3"/>
    <w:rsid w:val="00060363"/>
    <w:rsid w:val="000654F0"/>
    <w:rsid w:val="000705E6"/>
    <w:rsid w:val="00082090"/>
    <w:rsid w:val="000929FD"/>
    <w:rsid w:val="00096093"/>
    <w:rsid w:val="000A3E75"/>
    <w:rsid w:val="000A58C0"/>
    <w:rsid w:val="000A6F52"/>
    <w:rsid w:val="000B1E29"/>
    <w:rsid w:val="000B48C7"/>
    <w:rsid w:val="000B6290"/>
    <w:rsid w:val="000C0D0C"/>
    <w:rsid w:val="000C7180"/>
    <w:rsid w:val="000D3096"/>
    <w:rsid w:val="000E0A20"/>
    <w:rsid w:val="000E18A2"/>
    <w:rsid w:val="000E7219"/>
    <w:rsid w:val="000E75F2"/>
    <w:rsid w:val="000F1B08"/>
    <w:rsid w:val="000F54C0"/>
    <w:rsid w:val="000F60B0"/>
    <w:rsid w:val="000F6831"/>
    <w:rsid w:val="001063CF"/>
    <w:rsid w:val="00106831"/>
    <w:rsid w:val="00110075"/>
    <w:rsid w:val="00110D85"/>
    <w:rsid w:val="001114F0"/>
    <w:rsid w:val="001138C4"/>
    <w:rsid w:val="001162C8"/>
    <w:rsid w:val="00121092"/>
    <w:rsid w:val="00121149"/>
    <w:rsid w:val="00122A09"/>
    <w:rsid w:val="00126C2A"/>
    <w:rsid w:val="00134069"/>
    <w:rsid w:val="001348C1"/>
    <w:rsid w:val="00134AFB"/>
    <w:rsid w:val="00147E25"/>
    <w:rsid w:val="00151E3E"/>
    <w:rsid w:val="00151E97"/>
    <w:rsid w:val="001526E4"/>
    <w:rsid w:val="00152942"/>
    <w:rsid w:val="00154E7F"/>
    <w:rsid w:val="00155C04"/>
    <w:rsid w:val="00162018"/>
    <w:rsid w:val="001641B1"/>
    <w:rsid w:val="00171418"/>
    <w:rsid w:val="00176068"/>
    <w:rsid w:val="00177CC3"/>
    <w:rsid w:val="00185111"/>
    <w:rsid w:val="0018642E"/>
    <w:rsid w:val="001933DA"/>
    <w:rsid w:val="00196EEC"/>
    <w:rsid w:val="001A0672"/>
    <w:rsid w:val="001A3BA4"/>
    <w:rsid w:val="001C5CF8"/>
    <w:rsid w:val="001C6E14"/>
    <w:rsid w:val="001D6DBB"/>
    <w:rsid w:val="001D7FA4"/>
    <w:rsid w:val="001E1B55"/>
    <w:rsid w:val="001E2705"/>
    <w:rsid w:val="001E3FA3"/>
    <w:rsid w:val="001E539F"/>
    <w:rsid w:val="001E7D7C"/>
    <w:rsid w:val="001F1054"/>
    <w:rsid w:val="001F7B10"/>
    <w:rsid w:val="002013A4"/>
    <w:rsid w:val="00202537"/>
    <w:rsid w:val="00203D7D"/>
    <w:rsid w:val="0020779F"/>
    <w:rsid w:val="002102DB"/>
    <w:rsid w:val="00212698"/>
    <w:rsid w:val="00220C2A"/>
    <w:rsid w:val="00234A23"/>
    <w:rsid w:val="0024034E"/>
    <w:rsid w:val="0024374C"/>
    <w:rsid w:val="002457D3"/>
    <w:rsid w:val="002575F0"/>
    <w:rsid w:val="002624CE"/>
    <w:rsid w:val="002629E6"/>
    <w:rsid w:val="002726D9"/>
    <w:rsid w:val="002835AC"/>
    <w:rsid w:val="002919E0"/>
    <w:rsid w:val="002A0559"/>
    <w:rsid w:val="002C2394"/>
    <w:rsid w:val="002C4924"/>
    <w:rsid w:val="002C7308"/>
    <w:rsid w:val="002D0A2D"/>
    <w:rsid w:val="002D1658"/>
    <w:rsid w:val="002D19A5"/>
    <w:rsid w:val="002D458B"/>
    <w:rsid w:val="002D5BD4"/>
    <w:rsid w:val="002D6558"/>
    <w:rsid w:val="002E13FC"/>
    <w:rsid w:val="002E1DFD"/>
    <w:rsid w:val="002E606D"/>
    <w:rsid w:val="002F10BF"/>
    <w:rsid w:val="002F2A72"/>
    <w:rsid w:val="003001B8"/>
    <w:rsid w:val="00303C18"/>
    <w:rsid w:val="00304AB0"/>
    <w:rsid w:val="003132AD"/>
    <w:rsid w:val="00317176"/>
    <w:rsid w:val="003213A8"/>
    <w:rsid w:val="00321A42"/>
    <w:rsid w:val="00327340"/>
    <w:rsid w:val="0033245F"/>
    <w:rsid w:val="00332CD2"/>
    <w:rsid w:val="00332FCC"/>
    <w:rsid w:val="00334030"/>
    <w:rsid w:val="003346AF"/>
    <w:rsid w:val="003349E7"/>
    <w:rsid w:val="00335332"/>
    <w:rsid w:val="0033764F"/>
    <w:rsid w:val="00340975"/>
    <w:rsid w:val="003513E5"/>
    <w:rsid w:val="003523D0"/>
    <w:rsid w:val="00354F00"/>
    <w:rsid w:val="00355EAF"/>
    <w:rsid w:val="00357CEB"/>
    <w:rsid w:val="003642DA"/>
    <w:rsid w:val="00365606"/>
    <w:rsid w:val="003710D2"/>
    <w:rsid w:val="00371A78"/>
    <w:rsid w:val="003749CD"/>
    <w:rsid w:val="003768BF"/>
    <w:rsid w:val="003809CB"/>
    <w:rsid w:val="003816A4"/>
    <w:rsid w:val="0038779A"/>
    <w:rsid w:val="003A1FF6"/>
    <w:rsid w:val="003A2011"/>
    <w:rsid w:val="003A5165"/>
    <w:rsid w:val="003A5EE1"/>
    <w:rsid w:val="003B6DFB"/>
    <w:rsid w:val="003C0326"/>
    <w:rsid w:val="003C27BF"/>
    <w:rsid w:val="003D1865"/>
    <w:rsid w:val="003F1603"/>
    <w:rsid w:val="003F24B4"/>
    <w:rsid w:val="00403B76"/>
    <w:rsid w:val="00406D53"/>
    <w:rsid w:val="00407E6F"/>
    <w:rsid w:val="004141A1"/>
    <w:rsid w:val="00415993"/>
    <w:rsid w:val="00421BB1"/>
    <w:rsid w:val="00422BA4"/>
    <w:rsid w:val="00422D96"/>
    <w:rsid w:val="0042739C"/>
    <w:rsid w:val="00431BC4"/>
    <w:rsid w:val="004331A5"/>
    <w:rsid w:val="00435C11"/>
    <w:rsid w:val="00437D10"/>
    <w:rsid w:val="00444DC4"/>
    <w:rsid w:val="0045040F"/>
    <w:rsid w:val="00452441"/>
    <w:rsid w:val="00452FD1"/>
    <w:rsid w:val="00462A55"/>
    <w:rsid w:val="004632B8"/>
    <w:rsid w:val="004744B0"/>
    <w:rsid w:val="004760F7"/>
    <w:rsid w:val="00480689"/>
    <w:rsid w:val="00483F05"/>
    <w:rsid w:val="00485F73"/>
    <w:rsid w:val="00490107"/>
    <w:rsid w:val="00490A74"/>
    <w:rsid w:val="004965DD"/>
    <w:rsid w:val="004A2F02"/>
    <w:rsid w:val="004A4A61"/>
    <w:rsid w:val="004A66D3"/>
    <w:rsid w:val="004B0BCF"/>
    <w:rsid w:val="004B25BE"/>
    <w:rsid w:val="004B2927"/>
    <w:rsid w:val="004B3651"/>
    <w:rsid w:val="004B371B"/>
    <w:rsid w:val="004B380D"/>
    <w:rsid w:val="004C2BB8"/>
    <w:rsid w:val="004C5B2A"/>
    <w:rsid w:val="004E02C5"/>
    <w:rsid w:val="004F002D"/>
    <w:rsid w:val="004F135C"/>
    <w:rsid w:val="004F3C75"/>
    <w:rsid w:val="005033E0"/>
    <w:rsid w:val="005061F5"/>
    <w:rsid w:val="0050756B"/>
    <w:rsid w:val="00510834"/>
    <w:rsid w:val="0051129F"/>
    <w:rsid w:val="00511F06"/>
    <w:rsid w:val="00515E97"/>
    <w:rsid w:val="00516E5E"/>
    <w:rsid w:val="00521BA9"/>
    <w:rsid w:val="00523699"/>
    <w:rsid w:val="0052781A"/>
    <w:rsid w:val="00527C9E"/>
    <w:rsid w:val="005404C5"/>
    <w:rsid w:val="0054192C"/>
    <w:rsid w:val="00545619"/>
    <w:rsid w:val="00562519"/>
    <w:rsid w:val="00565EFC"/>
    <w:rsid w:val="00571192"/>
    <w:rsid w:val="00574DCD"/>
    <w:rsid w:val="00574F43"/>
    <w:rsid w:val="0057778C"/>
    <w:rsid w:val="0058326F"/>
    <w:rsid w:val="00583A2B"/>
    <w:rsid w:val="00585625"/>
    <w:rsid w:val="00592245"/>
    <w:rsid w:val="00592A2F"/>
    <w:rsid w:val="00594576"/>
    <w:rsid w:val="005A1500"/>
    <w:rsid w:val="005A3BB4"/>
    <w:rsid w:val="005B113F"/>
    <w:rsid w:val="005B1216"/>
    <w:rsid w:val="005B147E"/>
    <w:rsid w:val="005B1F7C"/>
    <w:rsid w:val="005B25A6"/>
    <w:rsid w:val="005B3E5F"/>
    <w:rsid w:val="005B6F5A"/>
    <w:rsid w:val="005B7E0D"/>
    <w:rsid w:val="005C0B0F"/>
    <w:rsid w:val="005C435A"/>
    <w:rsid w:val="005D0836"/>
    <w:rsid w:val="005D29AE"/>
    <w:rsid w:val="005D3396"/>
    <w:rsid w:val="005E3B1F"/>
    <w:rsid w:val="005E3EB1"/>
    <w:rsid w:val="005E4123"/>
    <w:rsid w:val="005E418F"/>
    <w:rsid w:val="005E476E"/>
    <w:rsid w:val="005E4E8C"/>
    <w:rsid w:val="005E6493"/>
    <w:rsid w:val="005F2B6B"/>
    <w:rsid w:val="005F442D"/>
    <w:rsid w:val="005F7841"/>
    <w:rsid w:val="005F7C94"/>
    <w:rsid w:val="00601956"/>
    <w:rsid w:val="00604E88"/>
    <w:rsid w:val="0060733E"/>
    <w:rsid w:val="00610571"/>
    <w:rsid w:val="0061154D"/>
    <w:rsid w:val="00616574"/>
    <w:rsid w:val="006176B5"/>
    <w:rsid w:val="006220ED"/>
    <w:rsid w:val="00633586"/>
    <w:rsid w:val="00642DDB"/>
    <w:rsid w:val="00644602"/>
    <w:rsid w:val="006460A0"/>
    <w:rsid w:val="0064688F"/>
    <w:rsid w:val="006518FC"/>
    <w:rsid w:val="0066274F"/>
    <w:rsid w:val="00673E78"/>
    <w:rsid w:val="006854CF"/>
    <w:rsid w:val="00692DAF"/>
    <w:rsid w:val="006A094B"/>
    <w:rsid w:val="006A24C6"/>
    <w:rsid w:val="006A2647"/>
    <w:rsid w:val="006A4571"/>
    <w:rsid w:val="006A5593"/>
    <w:rsid w:val="006A5792"/>
    <w:rsid w:val="006B02C7"/>
    <w:rsid w:val="006B207D"/>
    <w:rsid w:val="006B6BE3"/>
    <w:rsid w:val="006C29B6"/>
    <w:rsid w:val="006C3D03"/>
    <w:rsid w:val="006D2319"/>
    <w:rsid w:val="006D552B"/>
    <w:rsid w:val="006E224B"/>
    <w:rsid w:val="006E318E"/>
    <w:rsid w:val="006E64CB"/>
    <w:rsid w:val="006F5646"/>
    <w:rsid w:val="00703A0F"/>
    <w:rsid w:val="00705490"/>
    <w:rsid w:val="00721656"/>
    <w:rsid w:val="007248DE"/>
    <w:rsid w:val="00731FB0"/>
    <w:rsid w:val="007328DB"/>
    <w:rsid w:val="00736A48"/>
    <w:rsid w:val="00744F36"/>
    <w:rsid w:val="00750153"/>
    <w:rsid w:val="00750895"/>
    <w:rsid w:val="0075598C"/>
    <w:rsid w:val="00757385"/>
    <w:rsid w:val="00757F64"/>
    <w:rsid w:val="0076255E"/>
    <w:rsid w:val="00763E50"/>
    <w:rsid w:val="007656D7"/>
    <w:rsid w:val="007712BC"/>
    <w:rsid w:val="00771F65"/>
    <w:rsid w:val="00775A4C"/>
    <w:rsid w:val="0077795C"/>
    <w:rsid w:val="00777962"/>
    <w:rsid w:val="007823B4"/>
    <w:rsid w:val="00783990"/>
    <w:rsid w:val="0078463D"/>
    <w:rsid w:val="00784B52"/>
    <w:rsid w:val="00791CE7"/>
    <w:rsid w:val="00794F08"/>
    <w:rsid w:val="007958E8"/>
    <w:rsid w:val="007A394B"/>
    <w:rsid w:val="007A5D4A"/>
    <w:rsid w:val="007A68AC"/>
    <w:rsid w:val="007B2F7D"/>
    <w:rsid w:val="007B357F"/>
    <w:rsid w:val="007B4CC6"/>
    <w:rsid w:val="007B6DC7"/>
    <w:rsid w:val="007C2448"/>
    <w:rsid w:val="007C6F1E"/>
    <w:rsid w:val="007E5976"/>
    <w:rsid w:val="007F0C8D"/>
    <w:rsid w:val="007F6157"/>
    <w:rsid w:val="00806D9F"/>
    <w:rsid w:val="00810011"/>
    <w:rsid w:val="00815181"/>
    <w:rsid w:val="00817871"/>
    <w:rsid w:val="00820C16"/>
    <w:rsid w:val="00823465"/>
    <w:rsid w:val="0082421D"/>
    <w:rsid w:val="0082754F"/>
    <w:rsid w:val="00837167"/>
    <w:rsid w:val="00837174"/>
    <w:rsid w:val="008375AD"/>
    <w:rsid w:val="0084178E"/>
    <w:rsid w:val="00844118"/>
    <w:rsid w:val="0084560C"/>
    <w:rsid w:val="00847E3B"/>
    <w:rsid w:val="00853C5B"/>
    <w:rsid w:val="0085575B"/>
    <w:rsid w:val="0085646D"/>
    <w:rsid w:val="0085707E"/>
    <w:rsid w:val="008576F0"/>
    <w:rsid w:val="00860024"/>
    <w:rsid w:val="00862B34"/>
    <w:rsid w:val="00874B4F"/>
    <w:rsid w:val="00876A53"/>
    <w:rsid w:val="008775B8"/>
    <w:rsid w:val="00884224"/>
    <w:rsid w:val="00891C49"/>
    <w:rsid w:val="008A18F7"/>
    <w:rsid w:val="008A1E1F"/>
    <w:rsid w:val="008A2A47"/>
    <w:rsid w:val="008B0395"/>
    <w:rsid w:val="008B1F08"/>
    <w:rsid w:val="008B5057"/>
    <w:rsid w:val="008B6BB6"/>
    <w:rsid w:val="008B75DD"/>
    <w:rsid w:val="008C2208"/>
    <w:rsid w:val="008C45F0"/>
    <w:rsid w:val="008C52BE"/>
    <w:rsid w:val="008D6277"/>
    <w:rsid w:val="008E036A"/>
    <w:rsid w:val="008E1848"/>
    <w:rsid w:val="008E3D62"/>
    <w:rsid w:val="008E7F2C"/>
    <w:rsid w:val="008F0E5C"/>
    <w:rsid w:val="008F3359"/>
    <w:rsid w:val="00906A47"/>
    <w:rsid w:val="00911076"/>
    <w:rsid w:val="00911558"/>
    <w:rsid w:val="0091207C"/>
    <w:rsid w:val="0091420D"/>
    <w:rsid w:val="0091586A"/>
    <w:rsid w:val="00921A23"/>
    <w:rsid w:val="00924D81"/>
    <w:rsid w:val="009272FE"/>
    <w:rsid w:val="0093342F"/>
    <w:rsid w:val="0094379C"/>
    <w:rsid w:val="00951B2D"/>
    <w:rsid w:val="00954573"/>
    <w:rsid w:val="00960559"/>
    <w:rsid w:val="00962077"/>
    <w:rsid w:val="009622D8"/>
    <w:rsid w:val="009665E3"/>
    <w:rsid w:val="00966645"/>
    <w:rsid w:val="0096667F"/>
    <w:rsid w:val="00975386"/>
    <w:rsid w:val="00982DD1"/>
    <w:rsid w:val="00991BA5"/>
    <w:rsid w:val="00991CF4"/>
    <w:rsid w:val="009932D1"/>
    <w:rsid w:val="0099428F"/>
    <w:rsid w:val="00997F50"/>
    <w:rsid w:val="009A02BF"/>
    <w:rsid w:val="009A17DE"/>
    <w:rsid w:val="009C08B4"/>
    <w:rsid w:val="009C1269"/>
    <w:rsid w:val="009C457D"/>
    <w:rsid w:val="009C6DB9"/>
    <w:rsid w:val="009E399D"/>
    <w:rsid w:val="009E3A40"/>
    <w:rsid w:val="00A0220D"/>
    <w:rsid w:val="00A02E10"/>
    <w:rsid w:val="00A03C20"/>
    <w:rsid w:val="00A11286"/>
    <w:rsid w:val="00A11481"/>
    <w:rsid w:val="00A24F76"/>
    <w:rsid w:val="00A32E07"/>
    <w:rsid w:val="00A4468D"/>
    <w:rsid w:val="00A51319"/>
    <w:rsid w:val="00A6230E"/>
    <w:rsid w:val="00A76D77"/>
    <w:rsid w:val="00A81322"/>
    <w:rsid w:val="00A82A60"/>
    <w:rsid w:val="00A8395B"/>
    <w:rsid w:val="00A85009"/>
    <w:rsid w:val="00A91657"/>
    <w:rsid w:val="00A934B0"/>
    <w:rsid w:val="00AA0190"/>
    <w:rsid w:val="00AA4255"/>
    <w:rsid w:val="00AB1F0B"/>
    <w:rsid w:val="00AB6A58"/>
    <w:rsid w:val="00AC33FE"/>
    <w:rsid w:val="00AC576C"/>
    <w:rsid w:val="00AD4379"/>
    <w:rsid w:val="00B100EC"/>
    <w:rsid w:val="00B12396"/>
    <w:rsid w:val="00B161D6"/>
    <w:rsid w:val="00B16E4E"/>
    <w:rsid w:val="00B17AB1"/>
    <w:rsid w:val="00B25310"/>
    <w:rsid w:val="00B34101"/>
    <w:rsid w:val="00B347BF"/>
    <w:rsid w:val="00B351E8"/>
    <w:rsid w:val="00B41D5D"/>
    <w:rsid w:val="00B43835"/>
    <w:rsid w:val="00B44192"/>
    <w:rsid w:val="00B44476"/>
    <w:rsid w:val="00B45412"/>
    <w:rsid w:val="00B45B7C"/>
    <w:rsid w:val="00B45C82"/>
    <w:rsid w:val="00B4746B"/>
    <w:rsid w:val="00B53B91"/>
    <w:rsid w:val="00B54EBD"/>
    <w:rsid w:val="00B550AF"/>
    <w:rsid w:val="00B66DD9"/>
    <w:rsid w:val="00B73E6C"/>
    <w:rsid w:val="00B740C9"/>
    <w:rsid w:val="00B84B86"/>
    <w:rsid w:val="00B85C56"/>
    <w:rsid w:val="00B91D34"/>
    <w:rsid w:val="00B94DED"/>
    <w:rsid w:val="00B965DC"/>
    <w:rsid w:val="00B9698B"/>
    <w:rsid w:val="00BA080E"/>
    <w:rsid w:val="00BA217E"/>
    <w:rsid w:val="00BA52ED"/>
    <w:rsid w:val="00BA5B2B"/>
    <w:rsid w:val="00BB1DFD"/>
    <w:rsid w:val="00BB432C"/>
    <w:rsid w:val="00BD77B2"/>
    <w:rsid w:val="00BE0DF4"/>
    <w:rsid w:val="00BF0501"/>
    <w:rsid w:val="00BF19E8"/>
    <w:rsid w:val="00C018B4"/>
    <w:rsid w:val="00C04A70"/>
    <w:rsid w:val="00C14E22"/>
    <w:rsid w:val="00C17621"/>
    <w:rsid w:val="00C208C0"/>
    <w:rsid w:val="00C23279"/>
    <w:rsid w:val="00C27336"/>
    <w:rsid w:val="00C62D0A"/>
    <w:rsid w:val="00C652DC"/>
    <w:rsid w:val="00C65BAA"/>
    <w:rsid w:val="00C672AE"/>
    <w:rsid w:val="00C70F34"/>
    <w:rsid w:val="00C71685"/>
    <w:rsid w:val="00C7580F"/>
    <w:rsid w:val="00C81C60"/>
    <w:rsid w:val="00C828A5"/>
    <w:rsid w:val="00C83C54"/>
    <w:rsid w:val="00C91ACB"/>
    <w:rsid w:val="00C93BD6"/>
    <w:rsid w:val="00C952E2"/>
    <w:rsid w:val="00C95896"/>
    <w:rsid w:val="00C963FE"/>
    <w:rsid w:val="00C96BF3"/>
    <w:rsid w:val="00CA01E9"/>
    <w:rsid w:val="00CA1EAB"/>
    <w:rsid w:val="00CA49F3"/>
    <w:rsid w:val="00CB6473"/>
    <w:rsid w:val="00CB6F5D"/>
    <w:rsid w:val="00CC0269"/>
    <w:rsid w:val="00CC3CD9"/>
    <w:rsid w:val="00CC541D"/>
    <w:rsid w:val="00CC5ED4"/>
    <w:rsid w:val="00CD4641"/>
    <w:rsid w:val="00CD7A57"/>
    <w:rsid w:val="00CE1566"/>
    <w:rsid w:val="00CE2E0F"/>
    <w:rsid w:val="00CE3E4D"/>
    <w:rsid w:val="00CE4186"/>
    <w:rsid w:val="00CE7808"/>
    <w:rsid w:val="00CE7A3A"/>
    <w:rsid w:val="00CF038A"/>
    <w:rsid w:val="00CF7C29"/>
    <w:rsid w:val="00D02AF8"/>
    <w:rsid w:val="00D04833"/>
    <w:rsid w:val="00D05203"/>
    <w:rsid w:val="00D05D72"/>
    <w:rsid w:val="00D07416"/>
    <w:rsid w:val="00D147CC"/>
    <w:rsid w:val="00D16D0A"/>
    <w:rsid w:val="00D2283D"/>
    <w:rsid w:val="00D22FF4"/>
    <w:rsid w:val="00D25B5A"/>
    <w:rsid w:val="00D30903"/>
    <w:rsid w:val="00D30958"/>
    <w:rsid w:val="00D30C8F"/>
    <w:rsid w:val="00D33A0E"/>
    <w:rsid w:val="00D34170"/>
    <w:rsid w:val="00D53E87"/>
    <w:rsid w:val="00D54752"/>
    <w:rsid w:val="00D559DE"/>
    <w:rsid w:val="00D55B0B"/>
    <w:rsid w:val="00D64421"/>
    <w:rsid w:val="00D64923"/>
    <w:rsid w:val="00D67E8C"/>
    <w:rsid w:val="00D73380"/>
    <w:rsid w:val="00D73BAD"/>
    <w:rsid w:val="00D75C98"/>
    <w:rsid w:val="00D7675E"/>
    <w:rsid w:val="00D81FBF"/>
    <w:rsid w:val="00D82180"/>
    <w:rsid w:val="00D82C09"/>
    <w:rsid w:val="00D857CF"/>
    <w:rsid w:val="00D96554"/>
    <w:rsid w:val="00D97CA5"/>
    <w:rsid w:val="00DA0D80"/>
    <w:rsid w:val="00DA2469"/>
    <w:rsid w:val="00DB1210"/>
    <w:rsid w:val="00DB3F0D"/>
    <w:rsid w:val="00DB5A48"/>
    <w:rsid w:val="00DC198A"/>
    <w:rsid w:val="00DC1E0B"/>
    <w:rsid w:val="00DD54FD"/>
    <w:rsid w:val="00DE06C8"/>
    <w:rsid w:val="00DE2BCC"/>
    <w:rsid w:val="00DE50B2"/>
    <w:rsid w:val="00E0431E"/>
    <w:rsid w:val="00E0570D"/>
    <w:rsid w:val="00E06E2B"/>
    <w:rsid w:val="00E14AB0"/>
    <w:rsid w:val="00E15A65"/>
    <w:rsid w:val="00E226D2"/>
    <w:rsid w:val="00E23A7B"/>
    <w:rsid w:val="00E25E41"/>
    <w:rsid w:val="00E4121B"/>
    <w:rsid w:val="00E43C29"/>
    <w:rsid w:val="00E4779F"/>
    <w:rsid w:val="00E532A9"/>
    <w:rsid w:val="00E5453C"/>
    <w:rsid w:val="00E54D7C"/>
    <w:rsid w:val="00E6459C"/>
    <w:rsid w:val="00E66A97"/>
    <w:rsid w:val="00E70991"/>
    <w:rsid w:val="00E72E9E"/>
    <w:rsid w:val="00E77272"/>
    <w:rsid w:val="00E87570"/>
    <w:rsid w:val="00E87C9A"/>
    <w:rsid w:val="00E92765"/>
    <w:rsid w:val="00EA0B5A"/>
    <w:rsid w:val="00EA2378"/>
    <w:rsid w:val="00EA3475"/>
    <w:rsid w:val="00EA35E2"/>
    <w:rsid w:val="00EB03DA"/>
    <w:rsid w:val="00EB21ED"/>
    <w:rsid w:val="00EB2A40"/>
    <w:rsid w:val="00EB2C30"/>
    <w:rsid w:val="00EB35DC"/>
    <w:rsid w:val="00EB6314"/>
    <w:rsid w:val="00EC6961"/>
    <w:rsid w:val="00EC751F"/>
    <w:rsid w:val="00ED5FD8"/>
    <w:rsid w:val="00EF7BCB"/>
    <w:rsid w:val="00F066C6"/>
    <w:rsid w:val="00F14E33"/>
    <w:rsid w:val="00F15581"/>
    <w:rsid w:val="00F20CDF"/>
    <w:rsid w:val="00F21351"/>
    <w:rsid w:val="00F2646E"/>
    <w:rsid w:val="00F30064"/>
    <w:rsid w:val="00F301C5"/>
    <w:rsid w:val="00F30C90"/>
    <w:rsid w:val="00F36456"/>
    <w:rsid w:val="00F409FC"/>
    <w:rsid w:val="00F44BDD"/>
    <w:rsid w:val="00F4567D"/>
    <w:rsid w:val="00F50D6E"/>
    <w:rsid w:val="00F51260"/>
    <w:rsid w:val="00F53B9D"/>
    <w:rsid w:val="00F567E0"/>
    <w:rsid w:val="00F6202A"/>
    <w:rsid w:val="00F652DC"/>
    <w:rsid w:val="00F76475"/>
    <w:rsid w:val="00F80D06"/>
    <w:rsid w:val="00F82DF2"/>
    <w:rsid w:val="00F84B95"/>
    <w:rsid w:val="00F85F33"/>
    <w:rsid w:val="00F8781A"/>
    <w:rsid w:val="00F978BA"/>
    <w:rsid w:val="00FA3615"/>
    <w:rsid w:val="00FB1DEE"/>
    <w:rsid w:val="00FB2415"/>
    <w:rsid w:val="00FB30BA"/>
    <w:rsid w:val="00FB3A2A"/>
    <w:rsid w:val="00FC2848"/>
    <w:rsid w:val="00FD5105"/>
    <w:rsid w:val="00FE3BEB"/>
    <w:rsid w:val="00FE4C0B"/>
    <w:rsid w:val="00FE5E8D"/>
    <w:rsid w:val="00FF0D35"/>
    <w:rsid w:val="00FF6B55"/>
    <w:rsid w:val="0D0B3130"/>
    <w:rsid w:val="10BB4356"/>
    <w:rsid w:val="11AF556D"/>
    <w:rsid w:val="1A0D104E"/>
    <w:rsid w:val="226D282F"/>
    <w:rsid w:val="241134D2"/>
    <w:rsid w:val="2B623E95"/>
    <w:rsid w:val="30FFABB1"/>
    <w:rsid w:val="37DA0B8C"/>
    <w:rsid w:val="38172A72"/>
    <w:rsid w:val="3DB67925"/>
    <w:rsid w:val="41145A53"/>
    <w:rsid w:val="43CC2BFE"/>
    <w:rsid w:val="477C4347"/>
    <w:rsid w:val="48F41EEC"/>
    <w:rsid w:val="50B6601A"/>
    <w:rsid w:val="522918F1"/>
    <w:rsid w:val="57D460CD"/>
    <w:rsid w:val="5EE63F9B"/>
    <w:rsid w:val="67282098"/>
    <w:rsid w:val="699527B5"/>
    <w:rsid w:val="6FE0340A"/>
    <w:rsid w:val="7169E393"/>
    <w:rsid w:val="75275DC3"/>
    <w:rsid w:val="76173338"/>
    <w:rsid w:val="BAFE2EA8"/>
    <w:rsid w:val="BE5DB9E8"/>
    <w:rsid w:val="D5BF6FAA"/>
    <w:rsid w:val="F0EFC94E"/>
    <w:rsid w:val="FEB5C8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00" w:lineRule="exact"/>
      <w:ind w:firstLine="200" w:firstLineChars="200"/>
      <w:jc w:val="both"/>
    </w:pPr>
    <w:rPr>
      <w:rFonts w:ascii="Times New Roman" w:hAnsi="Times New Roman" w:eastAsia="宋体" w:cstheme="minorBidi"/>
      <w:kern w:val="2"/>
      <w:sz w:val="24"/>
      <w:szCs w:val="21"/>
      <w:lang w:val="en-US" w:eastAsia="zh-CN" w:bidi="ar-SA"/>
    </w:rPr>
  </w:style>
  <w:style w:type="paragraph" w:styleId="2">
    <w:name w:val="heading 1"/>
    <w:basedOn w:val="1"/>
    <w:next w:val="1"/>
    <w:link w:val="29"/>
    <w:qFormat/>
    <w:uiPriority w:val="9"/>
    <w:pPr>
      <w:spacing w:before="480" w:after="120"/>
      <w:ind w:firstLine="0" w:firstLineChars="0"/>
      <w:jc w:val="center"/>
      <w:outlineLvl w:val="0"/>
    </w:pPr>
    <w:rPr>
      <w:b/>
      <w:sz w:val="32"/>
    </w:rPr>
  </w:style>
  <w:style w:type="paragraph" w:styleId="3">
    <w:name w:val="heading 2"/>
    <w:basedOn w:val="1"/>
    <w:next w:val="1"/>
    <w:link w:val="30"/>
    <w:unhideWhenUsed/>
    <w:qFormat/>
    <w:uiPriority w:val="9"/>
    <w:pPr>
      <w:keepNext/>
      <w:keepLines/>
      <w:spacing w:before="240" w:after="120"/>
      <w:ind w:firstLine="0" w:firstLineChars="0"/>
      <w:jc w:val="center"/>
      <w:outlineLvl w:val="1"/>
    </w:pPr>
    <w:rPr>
      <w:rFonts w:cstheme="majorBidi"/>
      <w:b/>
      <w:szCs w:val="40"/>
    </w:rPr>
  </w:style>
  <w:style w:type="paragraph" w:styleId="4">
    <w:name w:val="heading 3"/>
    <w:basedOn w:val="1"/>
    <w:next w:val="1"/>
    <w:link w:val="31"/>
    <w:unhideWhenUsed/>
    <w:qFormat/>
    <w:uiPriority w:val="9"/>
    <w:pPr>
      <w:keepNext/>
      <w:keepLines/>
      <w:spacing w:before="240" w:after="240"/>
      <w:ind w:firstLine="0" w:firstLineChars="0"/>
      <w:jc w:val="left"/>
      <w:outlineLvl w:val="2"/>
    </w:pPr>
    <w:rPr>
      <w:rFonts w:ascii="黑体" w:hAnsi="黑体" w:eastAsia="黑体" w:cstheme="majorBidi"/>
      <w:szCs w:val="32"/>
    </w:rPr>
  </w:style>
  <w:style w:type="paragraph" w:styleId="5">
    <w:name w:val="heading 4"/>
    <w:basedOn w:val="1"/>
    <w:next w:val="1"/>
    <w:link w:val="32"/>
    <w:unhideWhenUsed/>
    <w:qFormat/>
    <w:uiPriority w:val="9"/>
    <w:pPr>
      <w:outlineLvl w:val="3"/>
    </w:pPr>
    <w:rPr>
      <w:rFonts w:cstheme="majorBidi"/>
      <w:szCs w:val="28"/>
    </w:rPr>
  </w:style>
  <w:style w:type="paragraph" w:styleId="6">
    <w:name w:val="heading 5"/>
    <w:basedOn w:val="1"/>
    <w:next w:val="1"/>
    <w:link w:val="33"/>
    <w:unhideWhenUsed/>
    <w:qFormat/>
    <w:uiPriority w:val="9"/>
    <w:pPr>
      <w:keepNext/>
      <w:keepLines/>
      <w:outlineLvl w:val="4"/>
    </w:pPr>
    <w:rPr>
      <w:rFonts w:cstheme="majorBidi"/>
      <w:szCs w:val="24"/>
    </w:rPr>
  </w:style>
  <w:style w:type="paragraph" w:styleId="7">
    <w:name w:val="heading 6"/>
    <w:basedOn w:val="1"/>
    <w:next w:val="1"/>
    <w:link w:val="34"/>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35"/>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36"/>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37"/>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unhideWhenUsed/>
    <w:qFormat/>
    <w:uiPriority w:val="35"/>
    <w:pPr>
      <w:spacing w:before="120" w:after="120" w:line="240" w:lineRule="auto"/>
      <w:ind w:firstLine="0" w:firstLineChars="0"/>
      <w:jc w:val="center"/>
    </w:pPr>
    <w:rPr>
      <w:rFonts w:eastAsia="黑体" w:cs="Times New Roman"/>
      <w:sz w:val="21"/>
      <w:szCs w:val="20"/>
    </w:rPr>
  </w:style>
  <w:style w:type="paragraph" w:styleId="12">
    <w:name w:val="annotation text"/>
    <w:basedOn w:val="1"/>
    <w:link w:val="52"/>
    <w:qFormat/>
    <w:uiPriority w:val="0"/>
    <w:pPr>
      <w:tabs>
        <w:tab w:val="left" w:pos="312"/>
      </w:tabs>
    </w:pPr>
    <w:rPr>
      <w:szCs w:val="24"/>
    </w:rPr>
  </w:style>
  <w:style w:type="paragraph" w:styleId="13">
    <w:name w:val="toc 3"/>
    <w:basedOn w:val="1"/>
    <w:next w:val="1"/>
    <w:unhideWhenUsed/>
    <w:qFormat/>
    <w:uiPriority w:val="39"/>
    <w:pPr>
      <w:tabs>
        <w:tab w:val="left" w:pos="1524"/>
        <w:tab w:val="right" w:leader="dot" w:pos="8296"/>
      </w:tabs>
      <w:ind w:left="400" w:leftChars="400" w:firstLine="0" w:firstLineChars="0"/>
    </w:pPr>
  </w:style>
  <w:style w:type="paragraph" w:styleId="14">
    <w:name w:val="Date"/>
    <w:basedOn w:val="1"/>
    <w:next w:val="1"/>
    <w:link w:val="59"/>
    <w:semiHidden/>
    <w:unhideWhenUsed/>
    <w:qFormat/>
    <w:uiPriority w:val="99"/>
    <w:pPr>
      <w:ind w:left="100" w:leftChars="2500"/>
    </w:pPr>
  </w:style>
  <w:style w:type="paragraph" w:styleId="15">
    <w:name w:val="Balloon Text"/>
    <w:basedOn w:val="1"/>
    <w:link w:val="54"/>
    <w:semiHidden/>
    <w:unhideWhenUsed/>
    <w:qFormat/>
    <w:uiPriority w:val="99"/>
    <w:pPr>
      <w:spacing w:line="240" w:lineRule="auto"/>
    </w:pPr>
    <w:rPr>
      <w:sz w:val="18"/>
      <w:szCs w:val="18"/>
    </w:rPr>
  </w:style>
  <w:style w:type="paragraph" w:styleId="16">
    <w:name w:val="footer"/>
    <w:basedOn w:val="1"/>
    <w:link w:val="47"/>
    <w:unhideWhenUsed/>
    <w:qFormat/>
    <w:uiPriority w:val="99"/>
    <w:pPr>
      <w:tabs>
        <w:tab w:val="center" w:pos="4153"/>
        <w:tab w:val="right" w:pos="8306"/>
      </w:tabs>
      <w:snapToGrid w:val="0"/>
      <w:spacing w:line="240" w:lineRule="atLeast"/>
      <w:ind w:firstLine="0" w:firstLineChars="0"/>
      <w:jc w:val="center"/>
    </w:pPr>
    <w:rPr>
      <w:sz w:val="18"/>
      <w:szCs w:val="18"/>
    </w:rPr>
  </w:style>
  <w:style w:type="paragraph" w:styleId="17">
    <w:name w:val="header"/>
    <w:basedOn w:val="1"/>
    <w:link w:val="46"/>
    <w:unhideWhenUsed/>
    <w:qFormat/>
    <w:uiPriority w:val="99"/>
    <w:pPr>
      <w:tabs>
        <w:tab w:val="center" w:pos="4153"/>
        <w:tab w:val="right" w:pos="8306"/>
      </w:tabs>
      <w:snapToGrid w:val="0"/>
      <w:spacing w:line="240" w:lineRule="atLeast"/>
      <w:jc w:val="center"/>
    </w:pPr>
    <w:rPr>
      <w:sz w:val="18"/>
      <w:szCs w:val="18"/>
    </w:rPr>
  </w:style>
  <w:style w:type="paragraph" w:styleId="18">
    <w:name w:val="toc 1"/>
    <w:basedOn w:val="1"/>
    <w:next w:val="1"/>
    <w:unhideWhenUsed/>
    <w:qFormat/>
    <w:uiPriority w:val="39"/>
    <w:pPr>
      <w:ind w:firstLine="0" w:firstLineChars="0"/>
    </w:pPr>
  </w:style>
  <w:style w:type="paragraph" w:styleId="19">
    <w:name w:val="Subtitle"/>
    <w:basedOn w:val="1"/>
    <w:next w:val="1"/>
    <w:link w:val="38"/>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0">
    <w:name w:val="toc 2"/>
    <w:basedOn w:val="1"/>
    <w:next w:val="1"/>
    <w:unhideWhenUsed/>
    <w:qFormat/>
    <w:uiPriority w:val="39"/>
    <w:pPr>
      <w:tabs>
        <w:tab w:val="right" w:leader="dot" w:pos="8296"/>
      </w:tabs>
      <w:ind w:left="200" w:leftChars="200" w:firstLine="0" w:firstLineChars="0"/>
    </w:pPr>
  </w:style>
  <w:style w:type="paragraph" w:styleId="21">
    <w:name w:val="Normal (Web)"/>
    <w:basedOn w:val="1"/>
    <w:qFormat/>
    <w:uiPriority w:val="0"/>
    <w:pPr>
      <w:ind w:firstLine="480"/>
    </w:pPr>
  </w:style>
  <w:style w:type="paragraph" w:styleId="22">
    <w:name w:val="annotation subject"/>
    <w:basedOn w:val="12"/>
    <w:next w:val="12"/>
    <w:link w:val="55"/>
    <w:semiHidden/>
    <w:unhideWhenUsed/>
    <w:qFormat/>
    <w:uiPriority w:val="99"/>
    <w:pPr>
      <w:tabs>
        <w:tab w:val="clear" w:pos="312"/>
      </w:tabs>
      <w:jc w:val="left"/>
    </w:pPr>
    <w:rPr>
      <w:b/>
      <w:bCs/>
      <w:szCs w:val="21"/>
    </w:rPr>
  </w:style>
  <w:style w:type="table" w:styleId="24">
    <w:name w:val="Table Grid"/>
    <w:basedOn w:val="2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qFormat/>
    <w:uiPriority w:val="22"/>
    <w:rPr>
      <w:b/>
    </w:rPr>
  </w:style>
  <w:style w:type="character" w:styleId="27">
    <w:name w:val="Hyperlink"/>
    <w:basedOn w:val="25"/>
    <w:unhideWhenUsed/>
    <w:qFormat/>
    <w:uiPriority w:val="99"/>
    <w:rPr>
      <w:color w:val="467886" w:themeColor="hyperlink"/>
      <w:u w:val="single"/>
      <w14:textFill>
        <w14:solidFill>
          <w14:schemeClr w14:val="hlink"/>
        </w14:solidFill>
      </w14:textFill>
    </w:rPr>
  </w:style>
  <w:style w:type="character" w:styleId="28">
    <w:name w:val="annotation reference"/>
    <w:basedOn w:val="25"/>
    <w:semiHidden/>
    <w:unhideWhenUsed/>
    <w:qFormat/>
    <w:uiPriority w:val="99"/>
    <w:rPr>
      <w:sz w:val="21"/>
      <w:szCs w:val="21"/>
    </w:rPr>
  </w:style>
  <w:style w:type="character" w:customStyle="1" w:styleId="29">
    <w:name w:val="标题 1 Char"/>
    <w:basedOn w:val="25"/>
    <w:link w:val="2"/>
    <w:qFormat/>
    <w:uiPriority w:val="9"/>
    <w:rPr>
      <w:rFonts w:cstheme="minorBidi"/>
      <w:b/>
      <w:kern w:val="2"/>
      <w:sz w:val="32"/>
      <w:szCs w:val="21"/>
    </w:rPr>
  </w:style>
  <w:style w:type="character" w:customStyle="1" w:styleId="30">
    <w:name w:val="标题 2 Char"/>
    <w:basedOn w:val="25"/>
    <w:link w:val="3"/>
    <w:qFormat/>
    <w:uiPriority w:val="9"/>
    <w:rPr>
      <w:rFonts w:cstheme="majorBidi"/>
      <w:b/>
      <w:kern w:val="2"/>
      <w:sz w:val="24"/>
      <w:szCs w:val="40"/>
    </w:rPr>
  </w:style>
  <w:style w:type="character" w:customStyle="1" w:styleId="31">
    <w:name w:val="标题 3 Char"/>
    <w:basedOn w:val="25"/>
    <w:link w:val="4"/>
    <w:qFormat/>
    <w:uiPriority w:val="9"/>
    <w:rPr>
      <w:rFonts w:ascii="黑体" w:hAnsi="黑体" w:eastAsia="黑体" w:cstheme="majorBidi"/>
      <w:sz w:val="24"/>
      <w:szCs w:val="32"/>
    </w:rPr>
  </w:style>
  <w:style w:type="character" w:customStyle="1" w:styleId="32">
    <w:name w:val="标题 4 Char"/>
    <w:basedOn w:val="25"/>
    <w:link w:val="5"/>
    <w:qFormat/>
    <w:uiPriority w:val="9"/>
    <w:rPr>
      <w:rFonts w:ascii="Times New Roman" w:hAnsi="Times New Roman" w:eastAsia="宋体" w:cstheme="majorBidi"/>
      <w:kern w:val="2"/>
      <w:sz w:val="24"/>
      <w:szCs w:val="28"/>
    </w:rPr>
  </w:style>
  <w:style w:type="character" w:customStyle="1" w:styleId="33">
    <w:name w:val="标题 5 Char"/>
    <w:basedOn w:val="25"/>
    <w:link w:val="6"/>
    <w:qFormat/>
    <w:uiPriority w:val="9"/>
    <w:rPr>
      <w:rFonts w:ascii="Times New Roman" w:hAnsi="Times New Roman" w:eastAsia="宋体" w:cstheme="majorBidi"/>
      <w:sz w:val="24"/>
      <w:szCs w:val="24"/>
    </w:rPr>
  </w:style>
  <w:style w:type="character" w:customStyle="1" w:styleId="34">
    <w:name w:val="标题 6 Char"/>
    <w:basedOn w:val="25"/>
    <w:link w:val="7"/>
    <w:qFormat/>
    <w:uiPriority w:val="9"/>
    <w:rPr>
      <w:rFonts w:cstheme="majorBidi"/>
      <w:b/>
      <w:bCs/>
      <w:color w:val="104862" w:themeColor="accent1" w:themeShade="BF"/>
    </w:rPr>
  </w:style>
  <w:style w:type="character" w:customStyle="1" w:styleId="35">
    <w:name w:val="标题 7 Char"/>
    <w:basedOn w:val="25"/>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36">
    <w:name w:val="标题 8 Char"/>
    <w:basedOn w:val="25"/>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7">
    <w:name w:val="标题 9 Char"/>
    <w:basedOn w:val="25"/>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8">
    <w:name w:val="副标题 Char"/>
    <w:basedOn w:val="25"/>
    <w:link w:val="19"/>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9">
    <w:name w:val="Quote"/>
    <w:basedOn w:val="1"/>
    <w:next w:val="1"/>
    <w:link w:val="40"/>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40">
    <w:name w:val="引用 Char"/>
    <w:basedOn w:val="25"/>
    <w:link w:val="39"/>
    <w:qFormat/>
    <w:uiPriority w:val="29"/>
    <w:rPr>
      <w:i/>
      <w:iCs/>
      <w:color w:val="404040" w:themeColor="text1" w:themeTint="BF"/>
      <w14:textFill>
        <w14:solidFill>
          <w14:schemeClr w14:val="tx1">
            <w14:lumMod w14:val="75000"/>
            <w14:lumOff w14:val="25000"/>
          </w14:schemeClr>
        </w14:solidFill>
      </w14:textFill>
    </w:rPr>
  </w:style>
  <w:style w:type="paragraph" w:styleId="41">
    <w:name w:val="List Paragraph"/>
    <w:basedOn w:val="1"/>
    <w:qFormat/>
    <w:uiPriority w:val="34"/>
    <w:pPr>
      <w:ind w:left="720"/>
      <w:contextualSpacing/>
    </w:pPr>
  </w:style>
  <w:style w:type="character" w:customStyle="1" w:styleId="42">
    <w:name w:val="明显强调1"/>
    <w:basedOn w:val="25"/>
    <w:qFormat/>
    <w:uiPriority w:val="21"/>
    <w:rPr>
      <w:i/>
      <w:iCs/>
      <w:color w:val="104862" w:themeColor="accent1" w:themeShade="BF"/>
    </w:rPr>
  </w:style>
  <w:style w:type="paragraph" w:styleId="43">
    <w:name w:val="Intense Quote"/>
    <w:basedOn w:val="1"/>
    <w:next w:val="1"/>
    <w:link w:val="44"/>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44">
    <w:name w:val="明显引用 Char"/>
    <w:basedOn w:val="25"/>
    <w:link w:val="43"/>
    <w:qFormat/>
    <w:uiPriority w:val="30"/>
    <w:rPr>
      <w:i/>
      <w:iCs/>
      <w:color w:val="104862" w:themeColor="accent1" w:themeShade="BF"/>
    </w:rPr>
  </w:style>
  <w:style w:type="character" w:customStyle="1" w:styleId="45">
    <w:name w:val="明显参考1"/>
    <w:basedOn w:val="25"/>
    <w:qFormat/>
    <w:uiPriority w:val="32"/>
    <w:rPr>
      <w:b/>
      <w:bCs/>
      <w:smallCaps/>
      <w:color w:val="104862" w:themeColor="accent1" w:themeShade="BF"/>
      <w:spacing w:val="5"/>
    </w:rPr>
  </w:style>
  <w:style w:type="character" w:customStyle="1" w:styleId="46">
    <w:name w:val="页眉 Char"/>
    <w:basedOn w:val="25"/>
    <w:link w:val="17"/>
    <w:qFormat/>
    <w:uiPriority w:val="99"/>
    <w:rPr>
      <w:rFonts w:ascii="Times New Roman" w:hAnsi="Times New Roman" w:eastAsia="宋体"/>
      <w:sz w:val="18"/>
      <w:szCs w:val="18"/>
    </w:rPr>
  </w:style>
  <w:style w:type="character" w:customStyle="1" w:styleId="47">
    <w:name w:val="页脚 Char"/>
    <w:basedOn w:val="25"/>
    <w:link w:val="16"/>
    <w:qFormat/>
    <w:uiPriority w:val="99"/>
    <w:rPr>
      <w:rFonts w:cstheme="minorBidi"/>
      <w:kern w:val="2"/>
      <w:sz w:val="18"/>
      <w:szCs w:val="18"/>
    </w:rPr>
  </w:style>
  <w:style w:type="paragraph" w:customStyle="1" w:styleId="48">
    <w:name w:val="fig"/>
    <w:basedOn w:val="1"/>
    <w:qFormat/>
    <w:uiPriority w:val="0"/>
    <w:pPr>
      <w:spacing w:line="240" w:lineRule="atLeast"/>
      <w:ind w:firstLine="0" w:firstLineChars="0"/>
      <w:jc w:val="center"/>
    </w:pPr>
    <w:rPr>
      <w:rFonts w:cs="Times New Roman"/>
    </w:rPr>
  </w:style>
  <w:style w:type="paragraph" w:customStyle="1" w:styleId="49">
    <w:name w:val="表格"/>
    <w:basedOn w:val="1"/>
    <w:qFormat/>
    <w:uiPriority w:val="0"/>
    <w:pPr>
      <w:spacing w:line="240" w:lineRule="auto"/>
      <w:ind w:firstLine="0" w:firstLineChars="0"/>
      <w:jc w:val="center"/>
    </w:pPr>
    <w:rPr>
      <w:rFonts w:cs="Times New Roman"/>
      <w:sz w:val="21"/>
    </w:rPr>
  </w:style>
  <w:style w:type="paragraph" w:customStyle="1" w:styleId="50">
    <w:name w:val="标题1.1"/>
    <w:basedOn w:val="1"/>
    <w:qFormat/>
    <w:uiPriority w:val="0"/>
    <w:pPr>
      <w:spacing w:before="240" w:after="240"/>
      <w:ind w:firstLine="0" w:firstLineChars="0"/>
      <w:jc w:val="left"/>
      <w:outlineLvl w:val="2"/>
    </w:pPr>
    <w:rPr>
      <w:rFonts w:ascii="黑体" w:hAnsi="黑体" w:eastAsia="黑体" w:cstheme="majorBidi"/>
      <w:szCs w:val="32"/>
    </w:rPr>
  </w:style>
  <w:style w:type="paragraph" w:customStyle="1" w:styleId="51">
    <w:name w:val="标题2.1.1"/>
    <w:basedOn w:val="5"/>
    <w:qFormat/>
    <w:uiPriority w:val="0"/>
    <w:pPr>
      <w:spacing w:before="120" w:after="120"/>
      <w:ind w:firstLine="0" w:firstLineChars="0"/>
    </w:pPr>
  </w:style>
  <w:style w:type="character" w:customStyle="1" w:styleId="52">
    <w:name w:val="批注文字 Char"/>
    <w:basedOn w:val="25"/>
    <w:link w:val="12"/>
    <w:qFormat/>
    <w:uiPriority w:val="0"/>
    <w:rPr>
      <w:rFonts w:ascii="Times New Roman" w:hAnsi="Times New Roman" w:eastAsia="宋体"/>
      <w:kern w:val="2"/>
      <w:sz w:val="24"/>
      <w:szCs w:val="24"/>
    </w:rPr>
  </w:style>
  <w:style w:type="paragraph" w:customStyle="1" w:styleId="53">
    <w:name w:val="TOC 标题1"/>
    <w:basedOn w:val="2"/>
    <w:next w:val="1"/>
    <w:unhideWhenUsed/>
    <w:qFormat/>
    <w:uiPriority w:val="39"/>
    <w:pPr>
      <w:keepNext/>
      <w:keepLines/>
      <w:widowControl/>
      <w:spacing w:before="240" w:after="0" w:line="259" w:lineRule="auto"/>
      <w:jc w:val="left"/>
      <w:outlineLvl w:val="9"/>
    </w:pPr>
    <w:rPr>
      <w:rFonts w:asciiTheme="majorHAnsi" w:hAnsiTheme="majorHAnsi" w:eastAsiaTheme="majorEastAsia" w:cstheme="majorBidi"/>
      <w:color w:val="104862" w:themeColor="accent1" w:themeShade="BF"/>
      <w:kern w:val="0"/>
      <w:szCs w:val="32"/>
    </w:rPr>
  </w:style>
  <w:style w:type="character" w:customStyle="1" w:styleId="54">
    <w:name w:val="批注框文本 Char"/>
    <w:basedOn w:val="25"/>
    <w:link w:val="15"/>
    <w:semiHidden/>
    <w:qFormat/>
    <w:uiPriority w:val="99"/>
    <w:rPr>
      <w:rFonts w:ascii="Times New Roman" w:hAnsi="Times New Roman" w:eastAsia="宋体"/>
      <w:kern w:val="2"/>
      <w:sz w:val="18"/>
      <w:szCs w:val="18"/>
    </w:rPr>
  </w:style>
  <w:style w:type="character" w:customStyle="1" w:styleId="55">
    <w:name w:val="批注主题 Char"/>
    <w:basedOn w:val="52"/>
    <w:link w:val="22"/>
    <w:semiHidden/>
    <w:qFormat/>
    <w:uiPriority w:val="99"/>
    <w:rPr>
      <w:rFonts w:ascii="Times New Roman" w:hAnsi="Times New Roman" w:eastAsia="宋体"/>
      <w:b/>
      <w:bCs/>
      <w:kern w:val="2"/>
      <w:sz w:val="24"/>
      <w:szCs w:val="21"/>
    </w:rPr>
  </w:style>
  <w:style w:type="paragraph" w:customStyle="1" w:styleId="56">
    <w:name w:val="修订1"/>
    <w:hidden/>
    <w:semiHidden/>
    <w:qFormat/>
    <w:uiPriority w:val="99"/>
    <w:rPr>
      <w:rFonts w:ascii="Times New Roman" w:hAnsi="Times New Roman" w:eastAsia="宋体" w:cstheme="minorBidi"/>
      <w:kern w:val="2"/>
      <w:sz w:val="24"/>
      <w:szCs w:val="21"/>
      <w:lang w:val="en-US" w:eastAsia="zh-CN" w:bidi="ar-SA"/>
    </w:rPr>
  </w:style>
  <w:style w:type="paragraph" w:customStyle="1" w:styleId="57">
    <w:name w:val="AMDisplayEquation"/>
    <w:basedOn w:val="1"/>
    <w:next w:val="1"/>
    <w:link w:val="58"/>
    <w:qFormat/>
    <w:uiPriority w:val="0"/>
    <w:pPr>
      <w:tabs>
        <w:tab w:val="center" w:pos="4160"/>
        <w:tab w:val="right" w:pos="8300"/>
      </w:tabs>
      <w:spacing w:line="240" w:lineRule="auto"/>
      <w:ind w:firstLine="0" w:firstLineChars="0"/>
      <w:jc w:val="right"/>
    </w:pPr>
    <w:rPr>
      <w:color w:val="4E95D9" w:themeColor="text2" w:themeTint="80"/>
      <w14:textFill>
        <w14:solidFill>
          <w14:schemeClr w14:val="tx2">
            <w14:lumMod w14:val="50000"/>
            <w14:lumOff w14:val="50000"/>
          </w14:schemeClr>
        </w14:solidFill>
      </w14:textFill>
    </w:rPr>
  </w:style>
  <w:style w:type="character" w:customStyle="1" w:styleId="58">
    <w:name w:val="AMDisplayEquation 字符"/>
    <w:basedOn w:val="25"/>
    <w:link w:val="57"/>
    <w:qFormat/>
    <w:uiPriority w:val="0"/>
    <w:rPr>
      <w:rFonts w:ascii="Times New Roman" w:hAnsi="Times New Roman" w:eastAsia="宋体"/>
      <w:color w:val="4E95D9" w:themeColor="text2" w:themeTint="80"/>
      <w:kern w:val="2"/>
      <w:sz w:val="24"/>
      <w:szCs w:val="21"/>
      <w14:textFill>
        <w14:solidFill>
          <w14:schemeClr w14:val="tx2">
            <w14:lumMod w14:val="50000"/>
            <w14:lumOff w14:val="50000"/>
          </w14:schemeClr>
        </w14:solidFill>
      </w14:textFill>
    </w:rPr>
  </w:style>
  <w:style w:type="character" w:customStyle="1" w:styleId="59">
    <w:name w:val="日期 Char"/>
    <w:basedOn w:val="25"/>
    <w:link w:val="14"/>
    <w:semiHidden/>
    <w:qFormat/>
    <w:uiPriority w:val="99"/>
    <w:rPr>
      <w:rFonts w:ascii="Times New Roman" w:hAnsi="Times New Roman" w:eastAsia="宋体"/>
      <w:kern w:val="2"/>
      <w:sz w:val="24"/>
      <w:szCs w:val="21"/>
    </w:rPr>
  </w:style>
  <w:style w:type="paragraph" w:customStyle="1" w:styleId="60">
    <w:name w:val="修订2"/>
    <w:hidden/>
    <w:semiHidden/>
    <w:qFormat/>
    <w:uiPriority w:val="99"/>
    <w:rPr>
      <w:rFonts w:ascii="Times New Roman" w:hAnsi="Times New Roman" w:eastAsia="宋体" w:cstheme="minorBidi"/>
      <w:kern w:val="2"/>
      <w:sz w:val="24"/>
      <w:szCs w:val="21"/>
      <w:lang w:val="en-US" w:eastAsia="zh-CN" w:bidi="ar-SA"/>
    </w:rPr>
  </w:style>
  <w:style w:type="character" w:styleId="61">
    <w:name w:val="Placeholder Text"/>
    <w:basedOn w:val="25"/>
    <w:semiHidden/>
    <w:qFormat/>
    <w:uiPriority w:val="99"/>
    <w:rPr>
      <w:color w:val="666666"/>
    </w:rPr>
  </w:style>
  <w:style w:type="paragraph" w:customStyle="1" w:styleId="62">
    <w:name w:val="Revision"/>
    <w:hidden/>
    <w:unhideWhenUsed/>
    <w:qFormat/>
    <w:uiPriority w:val="99"/>
    <w:rPr>
      <w:rFonts w:ascii="Times New Roman" w:hAnsi="Times New Roman" w:eastAsia="宋体" w:cstheme="minorBidi"/>
      <w:kern w:val="2"/>
      <w:sz w:val="24"/>
      <w:szCs w:val="21"/>
      <w:lang w:val="en-US" w:eastAsia="zh-CN" w:bidi="ar-SA"/>
    </w:rPr>
  </w:style>
  <w:style w:type="paragraph" w:customStyle="1" w:styleId="63">
    <w:name w:val="TOC Heading"/>
    <w:basedOn w:val="2"/>
    <w:next w:val="1"/>
    <w:unhideWhenUsed/>
    <w:qFormat/>
    <w:uiPriority w:val="39"/>
    <w:pPr>
      <w:keepNext/>
      <w:keepLines/>
      <w:widowControl/>
      <w:spacing w:before="240" w:after="0" w:line="259" w:lineRule="auto"/>
      <w:jc w:val="left"/>
      <w:outlineLvl w:val="9"/>
    </w:pPr>
    <w:rPr>
      <w:rFonts w:asciiTheme="majorHAnsi" w:hAnsiTheme="majorHAnsi" w:eastAsiaTheme="majorEastAsia" w:cstheme="majorBidi"/>
      <w:b w:val="0"/>
      <w:color w:val="104862" w:themeColor="accent1" w:themeShade="BF"/>
      <w:kern w:val="0"/>
      <w:szCs w:val="32"/>
    </w:rPr>
  </w:style>
  <w:style w:type="character" w:customStyle="1" w:styleId="64">
    <w:name w:val="Unresolved Mention"/>
    <w:basedOn w:val="25"/>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9" Type="http://schemas.openxmlformats.org/officeDocument/2006/relationships/image" Target="media/image35.wmf"/><Relationship Id="rId98" Type="http://schemas.openxmlformats.org/officeDocument/2006/relationships/oleObject" Target="embeddings/oleObject39.bin"/><Relationship Id="rId97" Type="http://schemas.openxmlformats.org/officeDocument/2006/relationships/image" Target="media/image34.wmf"/><Relationship Id="rId96" Type="http://schemas.openxmlformats.org/officeDocument/2006/relationships/oleObject" Target="embeddings/oleObject38.bin"/><Relationship Id="rId95" Type="http://schemas.openxmlformats.org/officeDocument/2006/relationships/image" Target="media/image33.wmf"/><Relationship Id="rId94" Type="http://schemas.openxmlformats.org/officeDocument/2006/relationships/oleObject" Target="embeddings/oleObject37.bin"/><Relationship Id="rId93" Type="http://schemas.openxmlformats.org/officeDocument/2006/relationships/image" Target="media/image32.wmf"/><Relationship Id="rId92" Type="http://schemas.openxmlformats.org/officeDocument/2006/relationships/oleObject" Target="embeddings/oleObject36.bin"/><Relationship Id="rId91" Type="http://schemas.openxmlformats.org/officeDocument/2006/relationships/image" Target="media/image31.wmf"/><Relationship Id="rId90" Type="http://schemas.openxmlformats.org/officeDocument/2006/relationships/oleObject" Target="embeddings/oleObject35.bin"/><Relationship Id="rId9" Type="http://schemas.openxmlformats.org/officeDocument/2006/relationships/footer" Target="footer2.xml"/><Relationship Id="rId89" Type="http://schemas.openxmlformats.org/officeDocument/2006/relationships/image" Target="media/image30.wmf"/><Relationship Id="rId88" Type="http://schemas.openxmlformats.org/officeDocument/2006/relationships/oleObject" Target="embeddings/oleObject34.bin"/><Relationship Id="rId87" Type="http://schemas.openxmlformats.org/officeDocument/2006/relationships/image" Target="media/image29.wmf"/><Relationship Id="rId86" Type="http://schemas.openxmlformats.org/officeDocument/2006/relationships/oleObject" Target="embeddings/oleObject33.bin"/><Relationship Id="rId85" Type="http://schemas.openxmlformats.org/officeDocument/2006/relationships/image" Target="media/image28.wmf"/><Relationship Id="rId84" Type="http://schemas.openxmlformats.org/officeDocument/2006/relationships/oleObject" Target="embeddings/oleObject32.bin"/><Relationship Id="rId83" Type="http://schemas.openxmlformats.org/officeDocument/2006/relationships/image" Target="media/image27.wmf"/><Relationship Id="rId82" Type="http://schemas.openxmlformats.org/officeDocument/2006/relationships/oleObject" Target="embeddings/oleObject31.bin"/><Relationship Id="rId81" Type="http://schemas.openxmlformats.org/officeDocument/2006/relationships/image" Target="media/image26.wmf"/><Relationship Id="rId80" Type="http://schemas.openxmlformats.org/officeDocument/2006/relationships/oleObject" Target="embeddings/oleObject30.bin"/><Relationship Id="rId8" Type="http://schemas.openxmlformats.org/officeDocument/2006/relationships/footer" Target="footer1.xml"/><Relationship Id="rId79" Type="http://schemas.openxmlformats.org/officeDocument/2006/relationships/image" Target="media/image25.wmf"/><Relationship Id="rId78" Type="http://schemas.openxmlformats.org/officeDocument/2006/relationships/oleObject" Target="embeddings/oleObject29.bin"/><Relationship Id="rId77" Type="http://schemas.openxmlformats.org/officeDocument/2006/relationships/image" Target="media/image24.wmf"/><Relationship Id="rId76" Type="http://schemas.openxmlformats.org/officeDocument/2006/relationships/oleObject" Target="embeddings/oleObject28.bin"/><Relationship Id="rId75" Type="http://schemas.openxmlformats.org/officeDocument/2006/relationships/image" Target="media/image23.wmf"/><Relationship Id="rId74" Type="http://schemas.openxmlformats.org/officeDocument/2006/relationships/oleObject" Target="embeddings/oleObject27.bin"/><Relationship Id="rId73" Type="http://schemas.openxmlformats.org/officeDocument/2006/relationships/image" Target="media/image22.wmf"/><Relationship Id="rId72" Type="http://schemas.openxmlformats.org/officeDocument/2006/relationships/oleObject" Target="embeddings/oleObject26.bin"/><Relationship Id="rId71" Type="http://schemas.openxmlformats.org/officeDocument/2006/relationships/image" Target="media/image21.wmf"/><Relationship Id="rId70" Type="http://schemas.openxmlformats.org/officeDocument/2006/relationships/oleObject" Target="embeddings/oleObject25.bin"/><Relationship Id="rId7" Type="http://schemas.openxmlformats.org/officeDocument/2006/relationships/header" Target="header3.xml"/><Relationship Id="rId69" Type="http://schemas.openxmlformats.org/officeDocument/2006/relationships/image" Target="media/image20.wmf"/><Relationship Id="rId68" Type="http://schemas.openxmlformats.org/officeDocument/2006/relationships/oleObject" Target="embeddings/oleObject24.bin"/><Relationship Id="rId67" Type="http://schemas.openxmlformats.org/officeDocument/2006/relationships/image" Target="media/image19.wmf"/><Relationship Id="rId66" Type="http://schemas.openxmlformats.org/officeDocument/2006/relationships/oleObject" Target="embeddings/oleObject23.bin"/><Relationship Id="rId65" Type="http://schemas.openxmlformats.org/officeDocument/2006/relationships/image" Target="media/image18.wmf"/><Relationship Id="rId64" Type="http://schemas.openxmlformats.org/officeDocument/2006/relationships/oleObject" Target="embeddings/oleObject22.bin"/><Relationship Id="rId63" Type="http://schemas.openxmlformats.org/officeDocument/2006/relationships/image" Target="media/image17.wmf"/><Relationship Id="rId62" Type="http://schemas.openxmlformats.org/officeDocument/2006/relationships/oleObject" Target="embeddings/oleObject21.bin"/><Relationship Id="rId61" Type="http://schemas.openxmlformats.org/officeDocument/2006/relationships/image" Target="media/image16.wmf"/><Relationship Id="rId60" Type="http://schemas.openxmlformats.org/officeDocument/2006/relationships/oleObject" Target="embeddings/oleObject20.bin"/><Relationship Id="rId6" Type="http://schemas.openxmlformats.org/officeDocument/2006/relationships/header" Target="header2.xml"/><Relationship Id="rId59" Type="http://schemas.openxmlformats.org/officeDocument/2006/relationships/image" Target="media/image15.wmf"/><Relationship Id="rId58" Type="http://schemas.openxmlformats.org/officeDocument/2006/relationships/oleObject" Target="embeddings/oleObject19.bin"/><Relationship Id="rId57" Type="http://schemas.openxmlformats.org/officeDocument/2006/relationships/image" Target="media/image14.wmf"/><Relationship Id="rId56" Type="http://schemas.openxmlformats.org/officeDocument/2006/relationships/oleObject" Target="embeddings/oleObject18.bin"/><Relationship Id="rId55" Type="http://schemas.openxmlformats.org/officeDocument/2006/relationships/image" Target="media/image13.wmf"/><Relationship Id="rId54" Type="http://schemas.openxmlformats.org/officeDocument/2006/relationships/oleObject" Target="embeddings/oleObject17.bin"/><Relationship Id="rId53" Type="http://schemas.openxmlformats.org/officeDocument/2006/relationships/image" Target="media/image12.wmf"/><Relationship Id="rId52" Type="http://schemas.openxmlformats.org/officeDocument/2006/relationships/oleObject" Target="embeddings/oleObject16.bin"/><Relationship Id="rId51" Type="http://schemas.openxmlformats.org/officeDocument/2006/relationships/image" Target="media/image11.wmf"/><Relationship Id="rId50" Type="http://schemas.openxmlformats.org/officeDocument/2006/relationships/oleObject" Target="embeddings/oleObject15.bin"/><Relationship Id="rId5" Type="http://schemas.openxmlformats.org/officeDocument/2006/relationships/header" Target="header1.xml"/><Relationship Id="rId49" Type="http://schemas.openxmlformats.org/officeDocument/2006/relationships/image" Target="media/image10.wmf"/><Relationship Id="rId48" Type="http://schemas.openxmlformats.org/officeDocument/2006/relationships/oleObject" Target="embeddings/oleObject14.bin"/><Relationship Id="rId47" Type="http://schemas.openxmlformats.org/officeDocument/2006/relationships/oleObject" Target="embeddings/oleObject13.bin"/><Relationship Id="rId46" Type="http://schemas.openxmlformats.org/officeDocument/2006/relationships/oleObject" Target="embeddings/oleObject12.bin"/><Relationship Id="rId45" Type="http://schemas.openxmlformats.org/officeDocument/2006/relationships/image" Target="media/image9.wmf"/><Relationship Id="rId44" Type="http://schemas.openxmlformats.org/officeDocument/2006/relationships/oleObject" Target="embeddings/oleObject11.bin"/><Relationship Id="rId43" Type="http://schemas.openxmlformats.org/officeDocument/2006/relationships/image" Target="media/image8.wmf"/><Relationship Id="rId42" Type="http://schemas.openxmlformats.org/officeDocument/2006/relationships/oleObject" Target="embeddings/oleObject10.bin"/><Relationship Id="rId41" Type="http://schemas.openxmlformats.org/officeDocument/2006/relationships/image" Target="media/image7.wmf"/><Relationship Id="rId40" Type="http://schemas.openxmlformats.org/officeDocument/2006/relationships/oleObject" Target="embeddings/oleObject9.bin"/><Relationship Id="rId4" Type="http://schemas.openxmlformats.org/officeDocument/2006/relationships/endnotes" Target="endnotes.xml"/><Relationship Id="rId39" Type="http://schemas.openxmlformats.org/officeDocument/2006/relationships/oleObject" Target="embeddings/oleObject8.bin"/><Relationship Id="rId38" Type="http://schemas.openxmlformats.org/officeDocument/2006/relationships/image" Target="media/image6.wmf"/><Relationship Id="rId37" Type="http://schemas.openxmlformats.org/officeDocument/2006/relationships/oleObject" Target="embeddings/oleObject7.bin"/><Relationship Id="rId36" Type="http://schemas.openxmlformats.org/officeDocument/2006/relationships/oleObject" Target="embeddings/oleObject6.bin"/><Relationship Id="rId35" Type="http://schemas.openxmlformats.org/officeDocument/2006/relationships/image" Target="media/image5.wmf"/><Relationship Id="rId34" Type="http://schemas.openxmlformats.org/officeDocument/2006/relationships/oleObject" Target="embeddings/oleObject5.bin"/><Relationship Id="rId33" Type="http://schemas.openxmlformats.org/officeDocument/2006/relationships/oleObject" Target="embeddings/oleObject4.bin"/><Relationship Id="rId32" Type="http://schemas.openxmlformats.org/officeDocument/2006/relationships/image" Target="media/image4.wmf"/><Relationship Id="rId31" Type="http://schemas.openxmlformats.org/officeDocument/2006/relationships/oleObject" Target="embeddings/oleObject3.bin"/><Relationship Id="rId30" Type="http://schemas.openxmlformats.org/officeDocument/2006/relationships/image" Target="media/image3.wmf"/><Relationship Id="rId3" Type="http://schemas.openxmlformats.org/officeDocument/2006/relationships/footnotes" Target="footnotes.xml"/><Relationship Id="rId29" Type="http://schemas.openxmlformats.org/officeDocument/2006/relationships/oleObject" Target="embeddings/oleObject2.bin"/><Relationship Id="rId28" Type="http://schemas.openxmlformats.org/officeDocument/2006/relationships/image" Target="media/image2.wmf"/><Relationship Id="rId27" Type="http://schemas.openxmlformats.org/officeDocument/2006/relationships/oleObject" Target="embeddings/oleObject1.bin"/><Relationship Id="rId26" Type="http://schemas.openxmlformats.org/officeDocument/2006/relationships/image" Target="media/image1.png"/><Relationship Id="rId25" Type="http://schemas.openxmlformats.org/officeDocument/2006/relationships/theme" Target="theme/theme1.xml"/><Relationship Id="rId24" Type="http://schemas.openxmlformats.org/officeDocument/2006/relationships/footer" Target="footer11.xml"/><Relationship Id="rId23" Type="http://schemas.openxmlformats.org/officeDocument/2006/relationships/footer" Target="footer10.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footer" Target="footer7.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header" Target="header8.xml"/><Relationship Id="rId17" Type="http://schemas.openxmlformats.org/officeDocument/2006/relationships/header" Target="header7.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0" Type="http://schemas.openxmlformats.org/officeDocument/2006/relationships/fontTable" Target="fontTable.xml"/><Relationship Id="rId11" Type="http://schemas.openxmlformats.org/officeDocument/2006/relationships/header" Target="header4.xml"/><Relationship Id="rId109" Type="http://schemas.openxmlformats.org/officeDocument/2006/relationships/customXml" Target="../customXml/item1.xml"/><Relationship Id="rId108" Type="http://schemas.openxmlformats.org/officeDocument/2006/relationships/image" Target="media/image40.wmf"/><Relationship Id="rId107" Type="http://schemas.openxmlformats.org/officeDocument/2006/relationships/oleObject" Target="embeddings/oleObject43.bin"/><Relationship Id="rId106" Type="http://schemas.openxmlformats.org/officeDocument/2006/relationships/image" Target="media/image39.wmf"/><Relationship Id="rId105" Type="http://schemas.openxmlformats.org/officeDocument/2006/relationships/oleObject" Target="embeddings/oleObject42.bin"/><Relationship Id="rId104" Type="http://schemas.openxmlformats.org/officeDocument/2006/relationships/image" Target="media/image38.png"/><Relationship Id="rId103" Type="http://schemas.openxmlformats.org/officeDocument/2006/relationships/image" Target="media/image37.wmf"/><Relationship Id="rId102" Type="http://schemas.openxmlformats.org/officeDocument/2006/relationships/oleObject" Target="embeddings/oleObject41.bin"/><Relationship Id="rId101" Type="http://schemas.openxmlformats.org/officeDocument/2006/relationships/image" Target="media/image36.wmf"/><Relationship Id="rId100" Type="http://schemas.openxmlformats.org/officeDocument/2006/relationships/oleObject" Target="embeddings/oleObject40.bin"/><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52</Pages>
  <Words>5832</Words>
  <Characters>33245</Characters>
  <Lines>277</Lines>
  <Paragraphs>77</Paragraphs>
  <TotalTime>11</TotalTime>
  <ScaleCrop>false</ScaleCrop>
  <LinksUpToDate>false</LinksUpToDate>
  <CharactersWithSpaces>39000</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2025-11-05T01:14:00Z</dcterms:created>
  <dc:creator>秀磊 候</dc:creator>
  <cp:lastModifiedBy>cecs</cp:lastModifiedBy>
  <cp:lastPrinted>2025-12-01T19:41:00Z</cp:lastPrinted>
  <dcterms:modified xsi:type="dcterms:W3CDTF">2025-12-22T11:25:54Z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eyJoZGlkIjoiYjQ4YWViMjcyMDRkYTkyMjk1MTZmYjU5ZDc5ZTU1ZjYiLCJ1c2VySWQiOiIzMzkzNTk5ODIifQ==</vt:lpwstr>
  </property>
  <property fmtid="{D5CDD505-2E9C-101B-9397-08002B2CF9AE}" pid="3" name="KSOProductBuildVer">
    <vt:lpwstr>2052-11.8.2.10505</vt:lpwstr>
  </property>
  <property fmtid="{D5CDD505-2E9C-101B-9397-08002B2CF9AE}" pid="4" name="ICV">
    <vt:lpwstr>888E951644624ABF9F1955A33B9DB52E_12</vt:lpwstr>
  </property>
  <property fmtid="{D5CDD505-2E9C-101B-9397-08002B2CF9AE}" pid="5" name="AMWinEqns">
    <vt:bool>true</vt:bool>
  </property>
</Properties>
</file>